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/>
          <w:sz w:val="21"/>
          <w:szCs w:val="21"/>
          <w:lang w:eastAsia="en-US"/>
        </w:rPr>
      </w:pPr>
    </w:p>
    <w:p>
      <w:pPr>
        <w:pStyle w:val="46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I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X</w:t>
      </w: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</w:t>
      </w:r>
      <w:r>
        <w:rPr>
          <w:rFonts w:hint="default" w:ascii="Arial" w:hAnsi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PLANILHAS CENÁRIOS DE COMPENSAÇÃO SEMESTRAL PARA OUTSOURCING DE IMPRESSÃO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n.°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>
      <w:pPr>
        <w:jc w:val="center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(Processo Administrativo n.° 23381.001667.2020-40)</w:t>
      </w:r>
    </w:p>
    <w:p>
      <w:pPr>
        <w:jc w:val="both"/>
        <w:rPr>
          <w:rFonts w:hint="default"/>
          <w:sz w:val="21"/>
          <w:szCs w:val="21"/>
          <w:lang w:val="pt-PT" w:eastAsia="en-US"/>
        </w:rPr>
      </w:pPr>
    </w:p>
    <w:p>
      <w:pPr>
        <w:pStyle w:val="47"/>
        <w:widowControl/>
        <w:numPr>
          <w:ilvl w:val="0"/>
          <w:numId w:val="3"/>
        </w:numPr>
        <w:shd w:val="clear" w:color="auto" w:fill="FFFFFF"/>
        <w:spacing w:before="120" w:after="120"/>
        <w:ind w:left="425" w:leftChars="0" w:hanging="425" w:firstLineChars="0"/>
        <w:rPr>
          <w:rFonts w:hint="default" w:ascii="Arial" w:hAnsi="Arial"/>
          <w:b/>
          <w:bCs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 w:eastAsia="en-US"/>
        </w:rPr>
        <w:t>DAS CONDIÇÕES DA COMPENSAÇÃO CONTRATUAL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Serão computados semestralmente os cenários 1 a 5 previstos nas seções 1.4.6.1 e 1.4.6.2 do Manual de Boas Práticas, orientações e vedações  para contratações de serviços de Outsourcing de impressão 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-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Portaria n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>.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º  20/2016  DESIN/STI/MP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-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 elaborado  pelo Ministério  do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Planejamento, Desenvolvimento  e Gestão / STI. Eventualmente, poderá ocorrer compensação dos valores pagos conforme cenários previstos naquele manual.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Somente  haverá compensação  na  fatura  do  último  mês  de  cada semestre contratual  quando  ocorrer  pagamento de excedente  de  páginas  impressas   além da franquia mensal durante o respectivo período.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Nos  casos  em  que  for  constatado,  a  cada  análise   semestral,  que   o   volume realizado/produzido não tenha atingindo o volume da franquia estipulada para o semestre, o CONTRATANTE irá reavaliar o dimensionamento do contrato,  seja  revisando  a  estimativa  de  páginas  impressas,  a  quantidade  de equipamentos ou sua melhor distribuição.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Se essa diferença  for  recorrente,  proveniente  de  uma  tendência  de  baixa ou mudança  no  perfil  do  consumo,  o CONTRATANTE  irá aditivar  o  contrato visando consolidar esta mudança, de modo que não ocorra de  forma  reiterada  o  pagamento  por  páginas  não  produzidas,  devendo  ainda  serem observados os limites estabelecidos no art. 65 da Lei nº 8.666, de 21 de junho de 1993.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Durante a compensação ao final de cada semestre contratual são previstos cinco cenários,  descritos  a  seguir, possíveis  de  ocorrer  (vide  Anexo  I  do  Manual de Boas Práticas, orientações e vedações para contratações de serviços  de  Outsourcing de impressão),  dentro  de  duas situações  principais,  com  a  respectiva forma de  cálculo, conforme  exemplificado  abaixo.  O  Anexo  II  do  referido  Manual  apresenta,  ainda,  uma  planilha  modelo  de  compensação semestral de franquia, exemplificando a aplicação das fórmulas.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A tabela a seguir descreve as variáveis envolvidas nos cálculos da compensação de franquia no semestre:</w:t>
      </w:r>
    </w:p>
    <w:p>
      <w:pPr>
        <w:pStyle w:val="47"/>
        <w:widowControl/>
        <w:numPr>
          <w:numId w:val="0"/>
        </w:numPr>
        <w:shd w:val="clear" w:color="auto" w:fill="FFFFFF"/>
        <w:spacing w:before="120" w:after="120"/>
        <w:ind w:left="708" w:leftChars="0"/>
        <w:rPr>
          <w:rFonts w:hint="default" w:ascii="Arial" w:hAnsi="Arial"/>
          <w:color w:val="auto"/>
          <w:sz w:val="21"/>
          <w:szCs w:val="21"/>
          <w:lang w:val="pt-BR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>LEGENDA</w:t>
      </w:r>
    </w:p>
    <w:tbl>
      <w:tblPr>
        <w:tblStyle w:val="15"/>
        <w:tblW w:w="8994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73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 w:line="278" w:lineRule="auto"/>
              <w:ind w:left="107" w:right="56" w:rightChars="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Franquia mensal</w:t>
            </w:r>
          </w:p>
        </w:tc>
        <w:tc>
          <w:tcPr>
            <w:tcW w:w="7326" w:type="dxa"/>
          </w:tcPr>
          <w:p>
            <w:pPr>
              <w:pStyle w:val="49"/>
              <w:spacing w:before="117"/>
              <w:ind w:left="10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/>
                <w:sz w:val="22"/>
              </w:rPr>
              <w:t>Soma das franquias dos tipos de equipamentos (mesmo quando houver mais de</w:t>
            </w:r>
            <w:r>
              <w:rPr>
                <w:rFonts w:hint="default" w:ascii="Arial"/>
                <w:sz w:val="22"/>
                <w:lang w:val="pt-BR"/>
              </w:rPr>
              <w:t xml:space="preserve"> </w:t>
            </w:r>
            <w:r>
              <w:rPr>
                <w:rFonts w:ascii="Arial" w:hAnsi="Arial"/>
                <w:sz w:val="22"/>
              </w:rPr>
              <w:t>um tipo: Tipo I + Tipo II + Tipo III ...), separando-se por tipo de impressão (monocromáticas ou policromáticas) ... (em páginas)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 w:line="276" w:lineRule="auto"/>
              <w:ind w:left="107" w:right="56" w:rightChars="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Valor fixo da franquia</w:t>
            </w:r>
          </w:p>
          <w:p>
            <w:pPr>
              <w:pStyle w:val="49"/>
              <w:spacing w:before="1"/>
              <w:ind w:left="107" w:right="56" w:rightChars="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mensal</w:t>
            </w:r>
          </w:p>
        </w:tc>
        <w:tc>
          <w:tcPr>
            <w:tcW w:w="7326" w:type="dxa"/>
          </w:tcPr>
          <w:p>
            <w:pPr>
              <w:pStyle w:val="49"/>
              <w:spacing w:before="117" w:line="276" w:lineRule="auto"/>
              <w:ind w:left="10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/>
                <w:sz w:val="22"/>
              </w:rPr>
              <w:t>Soma dos valores das franquias dos tipos de equipamentos (mesmo quando houver mais de um tipo: Tipo I + Tipo II + Tipo III ...), separando-se por tipo de</w:t>
            </w:r>
            <w:r>
              <w:rPr>
                <w:rFonts w:hint="default" w:ascii="Arial"/>
                <w:sz w:val="22"/>
                <w:lang w:val="pt-BR"/>
              </w:rPr>
              <w:t xml:space="preserve"> </w:t>
            </w:r>
            <w:r>
              <w:rPr>
                <w:rFonts w:ascii="Arial" w:hAnsi="Arial"/>
                <w:sz w:val="22"/>
              </w:rPr>
              <w:t>impressão (monocromáticas ou policromáticas) ... (em 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Σ F</w:t>
            </w:r>
          </w:p>
        </w:tc>
        <w:tc>
          <w:tcPr>
            <w:tcW w:w="7326" w:type="dxa"/>
          </w:tcPr>
          <w:p>
            <w:pPr>
              <w:pStyle w:val="49"/>
              <w:spacing w:before="80" w:line="290" w:lineRule="atLeast"/>
              <w:ind w:left="10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Somatório das franquias mensais no semestre, separando-se monocromática e policromática (em páginas)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7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Σ P</w:t>
            </w:r>
          </w:p>
        </w:tc>
        <w:tc>
          <w:tcPr>
            <w:tcW w:w="7326" w:type="dxa"/>
          </w:tcPr>
          <w:p>
            <w:pPr>
              <w:pStyle w:val="49"/>
              <w:spacing w:before="83" w:line="290" w:lineRule="atLeast"/>
              <w:ind w:left="108" w:right="104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Somatório das páginas impressas/copiadas no semestre ou volume produzido (em páginas)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Σ VE</w:t>
            </w:r>
          </w:p>
        </w:tc>
        <w:tc>
          <w:tcPr>
            <w:tcW w:w="7326" w:type="dxa"/>
          </w:tcPr>
          <w:p>
            <w:pPr>
              <w:pStyle w:val="49"/>
              <w:spacing w:before="80" w:line="290" w:lineRule="atLeast"/>
              <w:ind w:left="108" w:right="104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Somatório do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>Excedente no semestre, ou seja, soma dos valores pagos por produção excedente à franquia em cada mês (em</w:t>
            </w:r>
            <w:r>
              <w:rPr>
                <w:rFonts w:ascii="Arial" w:hAnsi="Arial"/>
                <w:spacing w:val="-12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Δ Exc</w:t>
            </w:r>
          </w:p>
        </w:tc>
        <w:tc>
          <w:tcPr>
            <w:tcW w:w="7326" w:type="dxa"/>
          </w:tcPr>
          <w:p>
            <w:pPr>
              <w:pStyle w:val="49"/>
              <w:spacing w:before="117"/>
              <w:ind w:left="10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Delta Excedente (Δ Exc = Σ P - Σ F), ou seja, a diferença entre o somatório das</w:t>
            </w:r>
            <w:r>
              <w:rPr>
                <w:rFonts w:hint="default" w:ascii="Arial" w:hAnsi="Arial"/>
                <w:sz w:val="22"/>
                <w:lang w:val="pt-BR"/>
              </w:rPr>
              <w:t xml:space="preserve"> </w:t>
            </w:r>
            <w:r>
              <w:rPr>
                <w:rFonts w:ascii="Arial" w:hAnsi="Arial"/>
                <w:sz w:val="22"/>
              </w:rPr>
              <w:t>páginas efetivamente impressas e o somatório das franquias mensais dentro do semestre da compensação (em páginas)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7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Valor Δ Exc</w:t>
            </w:r>
          </w:p>
        </w:tc>
        <w:tc>
          <w:tcPr>
            <w:tcW w:w="7326" w:type="dxa"/>
          </w:tcPr>
          <w:p>
            <w:pPr>
              <w:pStyle w:val="49"/>
              <w:spacing w:before="83" w:line="290" w:lineRule="atLeast"/>
              <w:ind w:left="108" w:right="95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pacing w:val="-5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Delta Excedente </w:t>
            </w:r>
            <w:r>
              <w:rPr>
                <w:rFonts w:ascii="Arial" w:hAnsi="Arial"/>
                <w:spacing w:val="-5"/>
                <w:sz w:val="22"/>
              </w:rPr>
              <w:t xml:space="preserve">(Valor </w:t>
            </w:r>
            <w:r>
              <w:rPr>
                <w:rFonts w:ascii="Arial" w:hAnsi="Arial"/>
                <w:sz w:val="22"/>
              </w:rPr>
              <w:t xml:space="preserve">Δ Exc = Δ Exc * </w:t>
            </w:r>
            <w:r>
              <w:rPr>
                <w:rFonts w:ascii="Arial" w:hAnsi="Arial"/>
                <w:spacing w:val="-5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>Unitário Excedente), ou seja, o valor calculado da diferença excedente (volume produzido menos volume da franquia) que será aplicado na fórmula da redução (em 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5"/>
              <w:ind w:left="107" w:right="56" w:rightChars="2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Redução</w:t>
            </w:r>
          </w:p>
        </w:tc>
        <w:tc>
          <w:tcPr>
            <w:tcW w:w="7326" w:type="dxa"/>
          </w:tcPr>
          <w:p>
            <w:pPr>
              <w:pStyle w:val="49"/>
              <w:spacing w:before="117" w:line="276" w:lineRule="auto"/>
              <w:ind w:left="108" w:right="92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pacing w:val="-5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da Redução = Σ VE – </w:t>
            </w:r>
            <w:r>
              <w:rPr>
                <w:rFonts w:ascii="Arial" w:hAnsi="Arial"/>
                <w:spacing w:val="-5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Δ Exc, ou seja, a diferença entre o somatório do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Excedente e o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Delta Excedente (em R$). Esse valor será usado na fórmula do Novo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>a ser pago. Importante lembrar que só existirá</w:t>
            </w:r>
            <w:r>
              <w:rPr>
                <w:rFonts w:ascii="Arial" w:hAnsi="Arial"/>
                <w:spacing w:val="-17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redução</w:t>
            </w:r>
            <w:r>
              <w:rPr>
                <w:rFonts w:hint="default" w:ascii="Arial" w:hAnsi="Arial"/>
                <w:sz w:val="22"/>
                <w:lang w:val="pt-BR"/>
              </w:rPr>
              <w:t xml:space="preserve"> </w:t>
            </w:r>
            <w:r>
              <w:rPr>
                <w:rFonts w:ascii="Arial" w:hAnsi="Arial"/>
                <w:sz w:val="22"/>
              </w:rPr>
              <w:t>se houver produção de excedente de páginas durante o semestre.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1668" w:type="dxa"/>
            <w:shd w:val="clear" w:color="auto" w:fill="F1F1F1"/>
            <w:vAlign w:val="center"/>
          </w:tcPr>
          <w:p>
            <w:pPr>
              <w:pStyle w:val="49"/>
              <w:spacing w:before="117" w:line="276" w:lineRule="auto"/>
              <w:ind w:left="107" w:right="56" w:rightChars="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Novo Valor a ser pago</w:t>
            </w:r>
          </w:p>
        </w:tc>
        <w:tc>
          <w:tcPr>
            <w:tcW w:w="7326" w:type="dxa"/>
          </w:tcPr>
          <w:p>
            <w:pPr>
              <w:pStyle w:val="49"/>
              <w:spacing w:before="120" w:line="276" w:lineRule="auto"/>
              <w:ind w:left="108" w:right="94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Novo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a ser pago = </w:t>
            </w:r>
            <w:r>
              <w:rPr>
                <w:rFonts w:ascii="Arial" w:hAnsi="Arial"/>
                <w:spacing w:val="-4"/>
                <w:sz w:val="22"/>
              </w:rPr>
              <w:t xml:space="preserve">Valor </w:t>
            </w:r>
            <w:r>
              <w:rPr>
                <w:rFonts w:ascii="Arial" w:hAnsi="Arial"/>
                <w:sz w:val="22"/>
              </w:rPr>
              <w:t xml:space="preserve">do último mês (da compensação semestral) - </w:t>
            </w:r>
            <w:r>
              <w:rPr>
                <w:rFonts w:ascii="Arial" w:hAnsi="Arial"/>
                <w:spacing w:val="-4"/>
                <w:sz w:val="22"/>
              </w:rPr>
              <w:t>Valor</w:t>
            </w:r>
            <w:r>
              <w:rPr>
                <w:rFonts w:ascii="Arial" w:hAnsi="Arial"/>
                <w:spacing w:val="53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da Redução (em R$), ou seja, é a consolidação da compensação propriamente dita dentro do semestre, onde será descontado do último mês de cada ciclo semestral o valor referente à Redução calculada anteriormente.</w:t>
            </w:r>
            <w:r>
              <w:rPr>
                <w:rFonts w:ascii="Arial" w:hAnsi="Arial"/>
                <w:spacing w:val="31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Cabe</w:t>
            </w:r>
            <w:r>
              <w:rPr>
                <w:rFonts w:hint="default" w:ascii="Arial" w:hAnsi="Arial"/>
                <w:sz w:val="22"/>
                <w:lang w:val="pt-BR"/>
              </w:rPr>
              <w:t xml:space="preserve"> </w:t>
            </w:r>
            <w:r>
              <w:rPr>
                <w:rFonts w:ascii="Arial" w:hAnsi="Arial"/>
                <w:sz w:val="22"/>
              </w:rPr>
              <w:t>ressaltar que o “Novo Valor a ser pago” é o valor que será faturado.</w:t>
            </w:r>
          </w:p>
        </w:tc>
      </w:tr>
    </w:tbl>
    <w:p>
      <w:pPr>
        <w:pStyle w:val="47"/>
        <w:widowControl/>
        <w:numPr>
          <w:numId w:val="0"/>
        </w:numPr>
        <w:shd w:val="clear" w:color="auto" w:fill="FFFFFF"/>
        <w:spacing w:before="120" w:after="120"/>
        <w:ind w:left="708" w:leftChars="0"/>
        <w:rPr>
          <w:rFonts w:hint="default" w:ascii="Arial" w:hAnsi="Arial"/>
          <w:color w:val="auto"/>
          <w:sz w:val="21"/>
          <w:szCs w:val="21"/>
          <w:lang w:val="pt-PT" w:eastAsia="en-US"/>
        </w:rPr>
      </w:pPr>
    </w:p>
    <w:p>
      <w:pPr>
        <w:pStyle w:val="31"/>
        <w:numPr>
          <w:ilvl w:val="1"/>
          <w:numId w:val="5"/>
        </w:numPr>
        <w:tabs>
          <w:tab w:val="left" w:pos="922"/>
        </w:tabs>
        <w:spacing w:before="150" w:after="0" w:line="264" w:lineRule="auto"/>
        <w:ind w:left="933" w:right="409" w:hanging="360"/>
        <w:jc w:val="both"/>
        <w:rPr>
          <w:rFonts w:ascii="Arial" w:hAnsi="Arial"/>
          <w:sz w:val="22"/>
        </w:rPr>
      </w:pPr>
      <w:r>
        <w:rPr>
          <w:rFonts w:ascii="Arial" w:hAnsi="Arial"/>
          <w:b/>
          <w:color w:val="000009"/>
          <w:w w:val="105"/>
          <w:sz w:val="22"/>
        </w:rPr>
        <w:t xml:space="preserve">SITUAÇÃO 1: </w:t>
      </w:r>
      <w:r>
        <w:rPr>
          <w:rFonts w:ascii="Palatino Linotype" w:hAnsi="Palatino Linotype"/>
          <w:b/>
          <w:color w:val="000009"/>
          <w:w w:val="125"/>
          <w:sz w:val="22"/>
        </w:rPr>
        <w:t xml:space="preserve">Σ </w:t>
      </w:r>
      <w:r>
        <w:rPr>
          <w:rFonts w:ascii="Arial" w:hAnsi="Arial"/>
          <w:b/>
          <w:color w:val="000009"/>
          <w:w w:val="105"/>
          <w:sz w:val="22"/>
        </w:rPr>
        <w:t xml:space="preserve">F </w:t>
      </w:r>
      <w:r>
        <w:rPr>
          <w:rFonts w:ascii="Palatino Linotype" w:hAnsi="Palatino Linotype"/>
          <w:b/>
          <w:color w:val="000009"/>
          <w:w w:val="105"/>
          <w:sz w:val="22"/>
        </w:rPr>
        <w:t xml:space="preserve">≥ </w:t>
      </w:r>
      <w:r>
        <w:rPr>
          <w:rFonts w:ascii="Palatino Linotype" w:hAnsi="Palatino Linotype"/>
          <w:b/>
          <w:color w:val="000009"/>
          <w:w w:val="125"/>
          <w:sz w:val="22"/>
        </w:rPr>
        <w:t xml:space="preserve">Σ </w:t>
      </w:r>
      <w:r>
        <w:rPr>
          <w:rFonts w:ascii="Arial" w:hAnsi="Arial"/>
          <w:b/>
          <w:color w:val="000009"/>
          <w:spacing w:val="-15"/>
          <w:w w:val="105"/>
          <w:sz w:val="22"/>
        </w:rPr>
        <w:t xml:space="preserve">P, </w:t>
      </w:r>
      <w:r>
        <w:rPr>
          <w:rFonts w:ascii="Arial" w:hAnsi="Arial"/>
          <w:b/>
          <w:color w:val="000009"/>
          <w:w w:val="105"/>
          <w:sz w:val="22"/>
        </w:rPr>
        <w:t>ou seja, se o somatório das franquias mensais (</w:t>
      </w:r>
      <w:r>
        <w:rPr>
          <w:rFonts w:ascii="Palatino Linotype" w:hAnsi="Palatino Linotype"/>
          <w:b/>
          <w:color w:val="000009"/>
          <w:w w:val="105"/>
          <w:sz w:val="22"/>
        </w:rPr>
        <w:t xml:space="preserve">Σ </w:t>
      </w:r>
      <w:r>
        <w:rPr>
          <w:rFonts w:ascii="Arial" w:hAnsi="Arial"/>
          <w:b/>
          <w:color w:val="000009"/>
          <w:spacing w:val="-14"/>
          <w:w w:val="105"/>
          <w:sz w:val="22"/>
        </w:rPr>
        <w:t xml:space="preserve">F, </w:t>
      </w:r>
      <w:r>
        <w:rPr>
          <w:rFonts w:ascii="Arial" w:hAnsi="Arial"/>
          <w:b/>
          <w:color w:val="000009"/>
          <w:w w:val="105"/>
          <w:sz w:val="22"/>
        </w:rPr>
        <w:t xml:space="preserve">que corresponde </w:t>
      </w:r>
      <w:r>
        <w:rPr>
          <w:rFonts w:ascii="Palatino Linotype" w:hAnsi="Palatino Linotype"/>
          <w:b/>
          <w:color w:val="000009"/>
          <w:w w:val="105"/>
          <w:sz w:val="22"/>
        </w:rPr>
        <w:t xml:space="preserve">à </w:t>
      </w:r>
      <w:r>
        <w:rPr>
          <w:rFonts w:ascii="Arial" w:hAnsi="Arial"/>
          <w:b/>
          <w:color w:val="000009"/>
          <w:w w:val="105"/>
          <w:sz w:val="22"/>
        </w:rPr>
        <w:t>franquia de cada m</w:t>
      </w:r>
      <w:r>
        <w:rPr>
          <w:rFonts w:ascii="Palatino Linotype" w:hAnsi="Palatino Linotype"/>
          <w:b/>
          <w:color w:val="000009"/>
          <w:w w:val="105"/>
          <w:sz w:val="22"/>
        </w:rPr>
        <w:t>ê</w:t>
      </w:r>
      <w:r>
        <w:rPr>
          <w:rFonts w:ascii="Arial" w:hAnsi="Arial"/>
          <w:b/>
          <w:color w:val="000009"/>
          <w:w w:val="105"/>
          <w:sz w:val="22"/>
        </w:rPr>
        <w:t>s multiplicada por 6) for igual ou maior que o somatório</w:t>
      </w:r>
      <w:r>
        <w:rPr>
          <w:rFonts w:ascii="Arial" w:hAnsi="Arial"/>
          <w:b/>
          <w:color w:val="000009"/>
          <w:spacing w:val="-11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de</w:t>
      </w:r>
      <w:r>
        <w:rPr>
          <w:rFonts w:ascii="Arial" w:hAnsi="Arial"/>
          <w:b/>
          <w:color w:val="000009"/>
          <w:spacing w:val="-13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páginas</w:t>
      </w:r>
      <w:r>
        <w:rPr>
          <w:rFonts w:ascii="Arial" w:hAnsi="Arial"/>
          <w:b/>
          <w:color w:val="000009"/>
          <w:spacing w:val="-13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produzidas</w:t>
      </w:r>
      <w:r>
        <w:rPr>
          <w:rFonts w:ascii="Arial" w:hAnsi="Arial"/>
          <w:b/>
          <w:color w:val="000009"/>
          <w:spacing w:val="-13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(</w:t>
      </w:r>
      <w:r>
        <w:rPr>
          <w:rFonts w:ascii="Palatino Linotype" w:hAnsi="Palatino Linotype"/>
          <w:b/>
          <w:color w:val="000009"/>
          <w:w w:val="105"/>
          <w:sz w:val="22"/>
        </w:rPr>
        <w:t>Σ</w:t>
      </w:r>
      <w:r>
        <w:rPr>
          <w:rFonts w:ascii="Palatino Linotype" w:hAnsi="Palatino Linotype"/>
          <w:b/>
          <w:color w:val="000009"/>
          <w:spacing w:val="-4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P)</w:t>
      </w:r>
      <w:r>
        <w:rPr>
          <w:rFonts w:ascii="Arial" w:hAnsi="Arial"/>
          <w:b/>
          <w:color w:val="000009"/>
          <w:spacing w:val="-11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dentro</w:t>
      </w:r>
      <w:r>
        <w:rPr>
          <w:rFonts w:ascii="Arial" w:hAnsi="Arial"/>
          <w:b/>
          <w:color w:val="000009"/>
          <w:spacing w:val="-11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do</w:t>
      </w:r>
      <w:r>
        <w:rPr>
          <w:rFonts w:ascii="Arial" w:hAnsi="Arial"/>
          <w:b/>
          <w:color w:val="000009"/>
          <w:spacing w:val="-12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respectivo</w:t>
      </w:r>
      <w:r>
        <w:rPr>
          <w:rFonts w:ascii="Arial" w:hAnsi="Arial"/>
          <w:b/>
          <w:color w:val="000009"/>
          <w:spacing w:val="-11"/>
          <w:w w:val="105"/>
          <w:sz w:val="22"/>
        </w:rPr>
        <w:t xml:space="preserve"> </w:t>
      </w:r>
      <w:r>
        <w:rPr>
          <w:rFonts w:ascii="Arial" w:hAnsi="Arial"/>
          <w:b/>
          <w:color w:val="000009"/>
          <w:w w:val="105"/>
          <w:sz w:val="22"/>
        </w:rPr>
        <w:t>semestre:</w:t>
      </w:r>
    </w:p>
    <w:p>
      <w:pPr>
        <w:pStyle w:val="31"/>
        <w:numPr>
          <w:ilvl w:val="0"/>
          <w:numId w:val="6"/>
        </w:numPr>
        <w:tabs>
          <w:tab w:val="left" w:pos="1400"/>
          <w:tab w:val="clear" w:pos="425"/>
        </w:tabs>
        <w:spacing w:before="150" w:after="0" w:line="264" w:lineRule="auto"/>
        <w:ind w:left="1400" w:leftChars="0" w:right="409" w:rightChars="0" w:hanging="425" w:firstLineChars="0"/>
        <w:jc w:val="both"/>
        <w:rPr>
          <w:rFonts w:ascii="Arial" w:hAnsi="Arial"/>
          <w:sz w:val="22"/>
        </w:rPr>
      </w:pPr>
      <w:r>
        <w:rPr>
          <w:rFonts w:ascii="Arial" w:hAnsi="Arial"/>
          <w:b/>
          <w:color w:val="000009"/>
          <w:sz w:val="22"/>
        </w:rPr>
        <w:t xml:space="preserve">CENÁRIO 1: </w:t>
      </w:r>
      <w:r>
        <w:rPr>
          <w:rFonts w:ascii="Arial" w:hAnsi="Arial"/>
          <w:color w:val="000009"/>
          <w:sz w:val="22"/>
        </w:rPr>
        <w:t xml:space="preserve">Caso o volume produzido no semestre seja inferior à soma das franquias mensais do mesmo período não haverá compensação pois não há geração de excedente, devendo ainda ser observados </w:t>
      </w:r>
      <w:r>
        <w:rPr>
          <w:rFonts w:hint="default"/>
          <w:color w:val="000009"/>
          <w:sz w:val="22"/>
          <w:lang w:val="pt-BR"/>
        </w:rPr>
        <w:t>às demais disposições contidas no presente instrumento</w:t>
      </w:r>
      <w:r>
        <w:rPr>
          <w:rFonts w:ascii="Arial" w:hAnsi="Arial"/>
          <w:color w:val="000009"/>
          <w:sz w:val="22"/>
        </w:rPr>
        <w:t>;</w:t>
      </w:r>
    </w:p>
    <w:p>
      <w:pPr>
        <w:pStyle w:val="31"/>
        <w:numPr>
          <w:numId w:val="0"/>
        </w:numPr>
        <w:tabs>
          <w:tab w:val="left" w:pos="922"/>
        </w:tabs>
        <w:spacing w:before="150" w:after="0" w:line="264" w:lineRule="auto"/>
        <w:ind w:leftChars="900" w:right="409" w:rightChars="0"/>
        <w:jc w:val="both"/>
        <w:rPr>
          <w:rFonts w:ascii="Arial" w:hAnsi="Arial"/>
          <w:color w:val="000009"/>
          <w:sz w:val="22"/>
        </w:rPr>
      </w:pPr>
    </w:p>
    <w:p>
      <w:pPr>
        <w:pStyle w:val="31"/>
        <w:numPr>
          <w:numId w:val="0"/>
        </w:numPr>
        <w:tabs>
          <w:tab w:val="left" w:pos="922"/>
        </w:tabs>
        <w:spacing w:before="150" w:after="0" w:line="264" w:lineRule="auto"/>
        <w:ind w:leftChars="900" w:right="409" w:rightChars="0"/>
        <w:jc w:val="both"/>
        <w:rPr>
          <w:rFonts w:ascii="Arial" w:hAnsi="Arial"/>
          <w:color w:val="000009"/>
          <w:sz w:val="22"/>
        </w:rPr>
      </w:pPr>
    </w:p>
    <w:p>
      <w:pPr>
        <w:pStyle w:val="31"/>
        <w:numPr>
          <w:numId w:val="0"/>
        </w:numPr>
        <w:tabs>
          <w:tab w:val="left" w:pos="922"/>
        </w:tabs>
        <w:spacing w:before="150" w:after="0" w:line="264" w:lineRule="auto"/>
        <w:ind w:leftChars="900" w:right="409" w:rightChars="0"/>
        <w:jc w:val="both"/>
        <w:rPr>
          <w:rFonts w:ascii="Arial" w:hAnsi="Arial"/>
          <w:sz w:val="22"/>
        </w:rPr>
      </w:pPr>
    </w:p>
    <w:tbl>
      <w:tblPr>
        <w:tblStyle w:val="15"/>
        <w:tblW w:w="99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2513"/>
        <w:gridCol w:w="1303"/>
        <w:gridCol w:w="1560"/>
        <w:gridCol w:w="1663"/>
        <w:gridCol w:w="15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42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170" w:right="161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Meses</w:t>
            </w:r>
          </w:p>
        </w:tc>
        <w:tc>
          <w:tcPr>
            <w:tcW w:w="2513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517" w:right="507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 Mensal</w:t>
            </w:r>
          </w:p>
        </w:tc>
        <w:tc>
          <w:tcPr>
            <w:tcW w:w="1303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99" w:right="8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Produzido</w:t>
            </w:r>
          </w:p>
        </w:tc>
        <w:tc>
          <w:tcPr>
            <w:tcW w:w="1560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156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</w:t>
            </w:r>
          </w:p>
        </w:tc>
        <w:tc>
          <w:tcPr>
            <w:tcW w:w="1663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59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Excedente</w:t>
            </w:r>
          </w:p>
        </w:tc>
        <w:tc>
          <w:tcPr>
            <w:tcW w:w="1598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259" w:right="24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Pago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2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1</w:t>
            </w:r>
          </w:p>
        </w:tc>
        <w:tc>
          <w:tcPr>
            <w:tcW w:w="2513" w:type="dxa"/>
            <w:vMerge w:val="restart"/>
            <w:vAlign w:val="center"/>
          </w:tcPr>
          <w:p>
            <w:pPr>
              <w:pStyle w:val="49"/>
              <w:spacing w:before="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4.500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vAlign w:val="center"/>
          </w:tcPr>
          <w:p>
            <w:pPr>
              <w:pStyle w:val="49"/>
              <w:spacing w:before="45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2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2</w:t>
            </w:r>
          </w:p>
        </w:tc>
        <w:tc>
          <w:tcPr>
            <w:tcW w:w="25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4.500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vAlign w:val="center"/>
          </w:tcPr>
          <w:p>
            <w:pPr>
              <w:pStyle w:val="49"/>
              <w:spacing w:before="48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42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3</w:t>
            </w:r>
          </w:p>
        </w:tc>
        <w:tc>
          <w:tcPr>
            <w:tcW w:w="25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5.000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vAlign w:val="center"/>
          </w:tcPr>
          <w:p>
            <w:pPr>
              <w:pStyle w:val="49"/>
              <w:spacing w:before="48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2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4</w:t>
            </w:r>
          </w:p>
        </w:tc>
        <w:tc>
          <w:tcPr>
            <w:tcW w:w="25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5.500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vAlign w:val="center"/>
          </w:tcPr>
          <w:p>
            <w:pPr>
              <w:pStyle w:val="49"/>
              <w:spacing w:before="48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2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5</w:t>
            </w:r>
          </w:p>
        </w:tc>
        <w:tc>
          <w:tcPr>
            <w:tcW w:w="25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5.500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vAlign w:val="center"/>
          </w:tcPr>
          <w:p>
            <w:pPr>
              <w:pStyle w:val="49"/>
              <w:spacing w:before="48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342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6</w:t>
            </w:r>
          </w:p>
        </w:tc>
        <w:tc>
          <w:tcPr>
            <w:tcW w:w="25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5.000</w:t>
            </w:r>
          </w:p>
        </w:tc>
        <w:tc>
          <w:tcPr>
            <w:tcW w:w="1560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5"/>
              <w:ind w:left="0" w:leftChars="0" w:right="156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8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136" w:right="129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TOTAL</w:t>
            </w:r>
          </w:p>
        </w:tc>
        <w:tc>
          <w:tcPr>
            <w:tcW w:w="25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200" w:leftChars="0" w:right="17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36.000</w:t>
            </w:r>
          </w:p>
        </w:tc>
        <w:tc>
          <w:tcPr>
            <w:tcW w:w="1303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00" w:right="282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30.000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150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10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</w:tbl>
    <w:p>
      <w:pPr>
        <w:pStyle w:val="31"/>
        <w:numPr>
          <w:numId w:val="0"/>
        </w:numPr>
        <w:tabs>
          <w:tab w:val="left" w:pos="922"/>
        </w:tabs>
        <w:spacing w:before="150" w:after="0" w:line="264" w:lineRule="auto"/>
        <w:ind w:leftChars="900" w:right="409" w:rightChars="0"/>
        <w:jc w:val="both"/>
        <w:rPr>
          <w:rFonts w:ascii="Arial" w:hAnsi="Arial"/>
          <w:sz w:val="22"/>
        </w:rPr>
      </w:pPr>
    </w:p>
    <w:p>
      <w:pPr>
        <w:pStyle w:val="31"/>
        <w:numPr>
          <w:ilvl w:val="0"/>
          <w:numId w:val="6"/>
        </w:numPr>
        <w:tabs>
          <w:tab w:val="left" w:pos="1400"/>
          <w:tab w:val="clear" w:pos="425"/>
        </w:tabs>
        <w:spacing w:before="150" w:after="0" w:line="264" w:lineRule="auto"/>
        <w:ind w:left="1400" w:leftChars="0" w:right="409" w:rightChars="0" w:hanging="425" w:firstLineChars="0"/>
        <w:jc w:val="both"/>
        <w:rPr>
          <w:rFonts w:ascii="Arial" w:hAnsi="Arial"/>
          <w:b/>
          <w:color w:val="000009"/>
          <w:sz w:val="22"/>
        </w:rPr>
      </w:pPr>
      <w:r>
        <w:rPr>
          <w:rFonts w:ascii="Arial" w:hAnsi="Arial"/>
          <w:b/>
          <w:color w:val="000009"/>
          <w:sz w:val="22"/>
        </w:rPr>
        <w:t xml:space="preserve">CENÁRIO 2: </w:t>
      </w:r>
      <w:r>
        <w:rPr>
          <w:rFonts w:ascii="Arial" w:hAnsi="Arial"/>
          <w:b w:val="0"/>
          <w:bCs/>
          <w:color w:val="000009"/>
          <w:sz w:val="22"/>
        </w:rPr>
        <w:t>Caso haja produção de excedente em alguns meses, mas o somatório de páginas produzidas seja inferior em relação ao somatório das franquias mensais, além</w:t>
      </w:r>
      <w:r>
        <w:rPr>
          <w:rFonts w:hint="default"/>
          <w:b w:val="0"/>
          <w:bCs/>
          <w:color w:val="000009"/>
          <w:sz w:val="22"/>
          <w:lang w:val="pt-BR"/>
        </w:rPr>
        <w:t xml:space="preserve"> das</w:t>
      </w:r>
      <w:r>
        <w:rPr>
          <w:rFonts w:hint="default"/>
          <w:color w:val="000009"/>
          <w:sz w:val="22"/>
          <w:lang w:val="pt-BR"/>
        </w:rPr>
        <w:t xml:space="preserve"> demais disposições contidas no presente instrumento</w:t>
      </w:r>
      <w:r>
        <w:rPr>
          <w:rFonts w:ascii="Arial" w:hAnsi="Arial"/>
          <w:b w:val="0"/>
          <w:bCs/>
          <w:color w:val="000009"/>
          <w:sz w:val="22"/>
        </w:rPr>
        <w:t>, será descontado no último mês do respectivo semestre o valor referente à redução, através da fórmula: Novo Valor a ser pago</w:t>
      </w:r>
      <w:r>
        <w:rPr>
          <w:rFonts w:hint="default" w:ascii="Arial" w:hAnsi="Arial"/>
          <w:b w:val="0"/>
          <w:bCs/>
          <w:color w:val="000009"/>
          <w:sz w:val="22"/>
          <w:lang w:val="pt-BR"/>
        </w:rPr>
        <w:t xml:space="preserve"> </w:t>
      </w:r>
      <w:r>
        <w:rPr>
          <w:rFonts w:ascii="Arial" w:hAnsi="Arial"/>
          <w:b w:val="0"/>
          <w:bCs/>
          <w:color w:val="000009"/>
          <w:sz w:val="22"/>
        </w:rPr>
        <w:t>= Valor do último mês (da compensação semestral) - Valor da Redução.</w:t>
      </w:r>
    </w:p>
    <w:tbl>
      <w:tblPr>
        <w:tblStyle w:val="15"/>
        <w:tblW w:w="1046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2012"/>
        <w:gridCol w:w="1303"/>
        <w:gridCol w:w="1560"/>
        <w:gridCol w:w="1560"/>
        <w:gridCol w:w="29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96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170" w:right="161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Meses</w:t>
            </w:r>
          </w:p>
        </w:tc>
        <w:tc>
          <w:tcPr>
            <w:tcW w:w="2012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0" w:leftChars="0" w:right="8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Mensal</w:t>
            </w:r>
          </w:p>
        </w:tc>
        <w:tc>
          <w:tcPr>
            <w:tcW w:w="1303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99" w:right="8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Produzido</w:t>
            </w:r>
          </w:p>
        </w:tc>
        <w:tc>
          <w:tcPr>
            <w:tcW w:w="1560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156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Franquia</w:t>
            </w:r>
          </w:p>
        </w:tc>
        <w:tc>
          <w:tcPr>
            <w:tcW w:w="1560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-44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 xml:space="preserve">Valor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xcedente*</w:t>
            </w:r>
          </w:p>
        </w:tc>
        <w:tc>
          <w:tcPr>
            <w:tcW w:w="2933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259" w:right="24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Pago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Align w:val="center"/>
          </w:tcPr>
          <w:p>
            <w:pPr>
              <w:pStyle w:val="49"/>
              <w:spacing w:before="46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1</w:t>
            </w:r>
          </w:p>
        </w:tc>
        <w:tc>
          <w:tcPr>
            <w:tcW w:w="2012" w:type="dxa"/>
            <w:vMerge w:val="restart"/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  <w:p>
            <w:pPr>
              <w:pStyle w:val="49"/>
              <w:spacing w:before="4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  <w:p>
            <w:pPr>
              <w:pStyle w:val="49"/>
              <w:ind w:left="756"/>
              <w:jc w:val="both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6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4.500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6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6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vAlign w:val="center"/>
          </w:tcPr>
          <w:p>
            <w:pPr>
              <w:pStyle w:val="49"/>
              <w:spacing w:before="46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96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2</w:t>
            </w:r>
          </w:p>
        </w:tc>
        <w:tc>
          <w:tcPr>
            <w:tcW w:w="20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4.500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8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vAlign w:val="center"/>
          </w:tcPr>
          <w:p>
            <w:pPr>
              <w:pStyle w:val="49"/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96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3</w:t>
            </w:r>
          </w:p>
        </w:tc>
        <w:tc>
          <w:tcPr>
            <w:tcW w:w="20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5.000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8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vAlign w:val="center"/>
          </w:tcPr>
          <w:p>
            <w:pPr>
              <w:pStyle w:val="49"/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96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4</w:t>
            </w:r>
          </w:p>
        </w:tc>
        <w:tc>
          <w:tcPr>
            <w:tcW w:w="20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8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vAlign w:val="center"/>
          </w:tcPr>
          <w:p>
            <w:pPr>
              <w:pStyle w:val="49"/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96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5</w:t>
            </w:r>
          </w:p>
        </w:tc>
        <w:tc>
          <w:tcPr>
            <w:tcW w:w="20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7.500</w:t>
            </w:r>
          </w:p>
        </w:tc>
        <w:tc>
          <w:tcPr>
            <w:tcW w:w="1560" w:type="dxa"/>
            <w:vAlign w:val="center"/>
          </w:tcPr>
          <w:p>
            <w:pPr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vAlign w:val="center"/>
          </w:tcPr>
          <w:p>
            <w:pPr>
              <w:pStyle w:val="49"/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R$ 150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R$ 750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96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6</w:t>
            </w:r>
          </w:p>
        </w:tc>
        <w:tc>
          <w:tcPr>
            <w:tcW w:w="20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8.000</w:t>
            </w:r>
          </w:p>
        </w:tc>
        <w:tc>
          <w:tcPr>
            <w:tcW w:w="1560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R$ 200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 w:line="273" w:lineRule="auto"/>
              <w:ind w:left="404" w:right="160" w:firstLine="2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trike/>
                <w:color w:val="000009"/>
                <w:sz w:val="18"/>
                <w:szCs w:val="18"/>
              </w:rPr>
              <w:t>R$ 800</w:t>
            </w:r>
            <w:r>
              <w:rPr>
                <w:rFonts w:hint="default" w:ascii="Arial" w:hAnsi="Arial" w:cs="Arial"/>
                <w:b/>
                <w:strike w:val="0"/>
                <w:color w:val="000009"/>
                <w:sz w:val="18"/>
                <w:szCs w:val="18"/>
              </w:rPr>
              <w:t xml:space="preserve"> - R$ 350 </w:t>
            </w:r>
            <w:r>
              <w:rPr>
                <w:rFonts w:hint="default" w:ascii="Arial" w:hAnsi="Arial" w:cs="Arial"/>
                <w:b/>
                <w:strike w:val="0"/>
                <w:color w:val="000009"/>
                <w:spacing w:val="-16"/>
                <w:sz w:val="18"/>
                <w:szCs w:val="18"/>
              </w:rPr>
              <w:t>=</w:t>
            </w:r>
            <w:r>
              <w:rPr>
                <w:rFonts w:hint="default" w:ascii="Arial" w:hAnsi="Arial" w:cs="Arial"/>
                <w:b/>
                <w:strike w:val="0"/>
                <w:color w:val="000009"/>
                <w:spacing w:val="-16"/>
                <w:sz w:val="18"/>
                <w:szCs w:val="18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R$ 450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136" w:right="129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TOTAL</w:t>
            </w:r>
          </w:p>
        </w:tc>
        <w:tc>
          <w:tcPr>
            <w:tcW w:w="201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5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36.000</w:t>
            </w:r>
          </w:p>
        </w:tc>
        <w:tc>
          <w:tcPr>
            <w:tcW w:w="1303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00" w:right="282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35.000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-50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10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85" w:right="372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</w:tbl>
    <w:p>
      <w:pPr>
        <w:spacing w:before="118"/>
        <w:ind w:left="212" w:right="0" w:firstLine="0"/>
        <w:jc w:val="both"/>
        <w:rPr>
          <w:rFonts w:ascii="Arial"/>
          <w:sz w:val="22"/>
        </w:rPr>
      </w:pPr>
      <w:r>
        <w:rPr>
          <w:rFonts w:ascii="Arial"/>
          <w:color w:val="000009"/>
          <w:sz w:val="22"/>
        </w:rPr>
        <w:t>*Considerando o valor excedente R$ 0,10.</w:t>
      </w:r>
    </w:p>
    <w:p>
      <w:pPr>
        <w:spacing w:before="160" w:line="276" w:lineRule="auto"/>
        <w:ind w:left="212" w:right="415" w:firstLine="0"/>
        <w:jc w:val="both"/>
        <w:rPr>
          <w:rFonts w:ascii="Arial" w:hAnsi="Arial"/>
          <w:color w:val="000009"/>
          <w:sz w:val="22"/>
        </w:rPr>
      </w:pPr>
      <w:r>
        <w:rPr>
          <w:rFonts w:ascii="Arial" w:hAnsi="Arial"/>
          <w:color w:val="000009"/>
          <w:sz w:val="22"/>
        </w:rPr>
        <w:t>(Σ F &gt; Σ P) Órgão supera a franquia mensal em alguns meses, mas o somatório de páginas produzidas é inferior ao somatório das franquias mensais no período de compensação. Entretanto há redução, pois houve excedente de páginas no período (Σ VE - Valor Δ Exc) &gt; 0</w:t>
      </w:r>
    </w:p>
    <w:p>
      <w:pPr>
        <w:pStyle w:val="31"/>
        <w:numPr>
          <w:ilvl w:val="0"/>
          <w:numId w:val="6"/>
        </w:numPr>
        <w:tabs>
          <w:tab w:val="left" w:pos="1400"/>
          <w:tab w:val="clear" w:pos="425"/>
        </w:tabs>
        <w:spacing w:before="150" w:after="0" w:line="264" w:lineRule="auto"/>
        <w:ind w:left="1400" w:leftChars="0" w:right="409" w:rightChars="0" w:hanging="425" w:firstLineChars="0"/>
        <w:jc w:val="both"/>
        <w:rPr>
          <w:rFonts w:ascii="Arial" w:hAnsi="Arial"/>
          <w:sz w:val="22"/>
        </w:rPr>
      </w:pPr>
      <w:r>
        <w:rPr>
          <w:rFonts w:ascii="Arial" w:hAnsi="Arial"/>
          <w:b/>
          <w:color w:val="000009"/>
          <w:sz w:val="22"/>
        </w:rPr>
        <w:t>CENÁRIO 3:</w:t>
      </w:r>
      <w:r>
        <w:rPr>
          <w:rFonts w:ascii="Arial" w:hAnsi="Arial"/>
          <w:b w:val="0"/>
          <w:bCs/>
          <w:color w:val="000009"/>
          <w:sz w:val="22"/>
        </w:rPr>
        <w:t xml:space="preserve"> Esse cenário é uma excepcionalidade do cenário anterior, onde o Valor da Redução seja superior ao valor do último mês do semestre contratual. O novo valor a ser pago será calculado conforme a mesma fórmula anterior: Novo Valor a ser pago = Valor do último mês (da compensação semestral) - Valor da Redução. Entretanto, deverá ser emitida uma Guia de Recolhimento da União (GRU) para que o fornecedor faça a devida compensação do pagamento. Como a soma das páginas produzidas no semestre continua inferior à soma das franquias mensais, continuam válidos </w:t>
      </w:r>
      <w:r>
        <w:rPr>
          <w:rFonts w:hint="default"/>
          <w:color w:val="000009"/>
          <w:sz w:val="22"/>
          <w:lang w:val="pt-BR"/>
        </w:rPr>
        <w:t>às demais disposições contidas no presente instrumento</w:t>
      </w:r>
      <w:r>
        <w:rPr>
          <w:rFonts w:ascii="Arial" w:hAnsi="Arial"/>
          <w:color w:val="000009"/>
          <w:sz w:val="22"/>
        </w:rPr>
        <w:t>;</w:t>
      </w:r>
    </w:p>
    <w:tbl>
      <w:tblPr>
        <w:tblStyle w:val="15"/>
        <w:tblpPr w:leftFromText="180" w:rightFromText="180" w:vertAnchor="text" w:horzAnchor="page" w:tblpXSpec="center" w:tblpY="2045"/>
        <w:tblOverlap w:val="never"/>
        <w:tblW w:w="99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1823"/>
        <w:gridCol w:w="1396"/>
        <w:gridCol w:w="1535"/>
        <w:gridCol w:w="1592"/>
        <w:gridCol w:w="25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049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170" w:right="161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Meses</w:t>
            </w:r>
          </w:p>
        </w:tc>
        <w:tc>
          <w:tcPr>
            <w:tcW w:w="1823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517" w:right="507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 Mensal</w:t>
            </w:r>
          </w:p>
        </w:tc>
        <w:tc>
          <w:tcPr>
            <w:tcW w:w="1396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99" w:right="8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Produzido</w:t>
            </w:r>
          </w:p>
        </w:tc>
        <w:tc>
          <w:tcPr>
            <w:tcW w:w="1535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-44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Franquia</w:t>
            </w:r>
          </w:p>
        </w:tc>
        <w:tc>
          <w:tcPr>
            <w:tcW w:w="1592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-44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 xml:space="preserve">Valor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xcedente*</w:t>
            </w:r>
          </w:p>
        </w:tc>
        <w:tc>
          <w:tcPr>
            <w:tcW w:w="2584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259" w:right="24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Pago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49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1</w:t>
            </w:r>
          </w:p>
        </w:tc>
        <w:tc>
          <w:tcPr>
            <w:tcW w:w="1823" w:type="dxa"/>
            <w:vMerge w:val="restart"/>
            <w:vAlign w:val="center"/>
          </w:tcPr>
          <w:p>
            <w:pPr>
              <w:pStyle w:val="49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5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1.000</w:t>
            </w:r>
          </w:p>
        </w:tc>
        <w:tc>
          <w:tcPr>
            <w:tcW w:w="1535" w:type="dxa"/>
            <w:vAlign w:val="center"/>
          </w:tcPr>
          <w:p>
            <w:pPr>
              <w:pStyle w:val="49"/>
              <w:spacing w:before="45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5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vAlign w:val="center"/>
          </w:tcPr>
          <w:p>
            <w:pPr>
              <w:pStyle w:val="49"/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49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2</w:t>
            </w:r>
          </w:p>
        </w:tc>
        <w:tc>
          <w:tcPr>
            <w:tcW w:w="182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9.500</w:t>
            </w:r>
          </w:p>
        </w:tc>
        <w:tc>
          <w:tcPr>
            <w:tcW w:w="1535" w:type="dxa"/>
            <w:vAlign w:val="center"/>
          </w:tcPr>
          <w:p>
            <w:pPr>
              <w:spacing w:before="45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5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R$ 350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R$ 950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49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3</w:t>
            </w:r>
          </w:p>
        </w:tc>
        <w:tc>
          <w:tcPr>
            <w:tcW w:w="182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8.000</w:t>
            </w:r>
          </w:p>
        </w:tc>
        <w:tc>
          <w:tcPr>
            <w:tcW w:w="1535" w:type="dxa"/>
            <w:vAlign w:val="center"/>
          </w:tcPr>
          <w:p>
            <w:pPr>
              <w:spacing w:before="45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5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R$ 200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R$ 800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49" w:type="dxa"/>
            <w:vAlign w:val="center"/>
          </w:tcPr>
          <w:p>
            <w:pPr>
              <w:pStyle w:val="49"/>
              <w:spacing w:before="46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4</w:t>
            </w:r>
          </w:p>
        </w:tc>
        <w:tc>
          <w:tcPr>
            <w:tcW w:w="182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6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1.000</w:t>
            </w:r>
          </w:p>
        </w:tc>
        <w:tc>
          <w:tcPr>
            <w:tcW w:w="1535" w:type="dxa"/>
            <w:vAlign w:val="center"/>
          </w:tcPr>
          <w:p>
            <w:pPr>
              <w:spacing w:before="46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8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vAlign w:val="center"/>
          </w:tcPr>
          <w:p>
            <w:pPr>
              <w:pStyle w:val="49"/>
              <w:spacing w:before="46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49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5</w:t>
            </w:r>
          </w:p>
        </w:tc>
        <w:tc>
          <w:tcPr>
            <w:tcW w:w="182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9.500</w:t>
            </w:r>
          </w:p>
        </w:tc>
        <w:tc>
          <w:tcPr>
            <w:tcW w:w="1535" w:type="dxa"/>
            <w:vAlign w:val="center"/>
          </w:tcPr>
          <w:p>
            <w:pPr>
              <w:spacing w:before="45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5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R$ 350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R$ 950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049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6</w:t>
            </w:r>
          </w:p>
        </w:tc>
        <w:tc>
          <w:tcPr>
            <w:tcW w:w="182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>
            <w:pPr>
              <w:pStyle w:val="49"/>
              <w:spacing w:before="45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535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5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8"/>
              <w:ind w:left="0" w:leftChars="0" w:right="-12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5" w:line="273" w:lineRule="auto"/>
              <w:ind w:right="16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trike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b/>
                <w:strike w:val="0"/>
                <w:color w:val="000009"/>
                <w:sz w:val="18"/>
                <w:szCs w:val="18"/>
              </w:rPr>
              <w:t xml:space="preserve"> - R$ 900</w:t>
            </w:r>
            <w:r>
              <w:rPr>
                <w:rFonts w:hint="default" w:ascii="Arial" w:hAnsi="Arial" w:cs="Arial"/>
                <w:b/>
                <w:strike w:val="0"/>
                <w:color w:val="000009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strike w:val="0"/>
                <w:color w:val="auto"/>
                <w:spacing w:val="-15"/>
                <w:sz w:val="18"/>
                <w:szCs w:val="18"/>
              </w:rPr>
              <w:t>=</w:t>
            </w:r>
            <w:r>
              <w:rPr>
                <w:rFonts w:hint="default" w:ascii="Arial" w:hAnsi="Arial" w:cs="Arial"/>
                <w:b/>
                <w:strike w:val="0"/>
                <w:color w:val="auto"/>
                <w:spacing w:val="-15"/>
                <w:sz w:val="18"/>
                <w:szCs w:val="18"/>
                <w:lang w:val="pt-BR"/>
              </w:rPr>
              <w:t xml:space="preserve">  ( -  </w:t>
            </w:r>
            <w:r>
              <w:rPr>
                <w:rFonts w:hint="default" w:ascii="Arial" w:hAnsi="Arial" w:cs="Arial"/>
                <w:b/>
                <w:color w:val="auto"/>
                <w:sz w:val="18"/>
                <w:szCs w:val="18"/>
                <w:lang w:val="pt-BR"/>
              </w:rPr>
              <w:t xml:space="preserve">) </w:t>
            </w:r>
            <w:r>
              <w:rPr>
                <w:rFonts w:hint="default" w:ascii="Arial" w:hAnsi="Arial" w:cs="Arial"/>
                <w:b/>
                <w:color w:val="auto"/>
                <w:sz w:val="18"/>
                <w:szCs w:val="18"/>
              </w:rPr>
              <w:t>R$ 300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136" w:right="129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TOTAL</w:t>
            </w:r>
          </w:p>
        </w:tc>
        <w:tc>
          <w:tcPr>
            <w:tcW w:w="18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16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36.000</w:t>
            </w:r>
          </w:p>
        </w:tc>
        <w:tc>
          <w:tcPr>
            <w:tcW w:w="13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00" w:right="282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35.000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0" w:leftChars="0" w:right="-68" w:rightChars="-34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10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R$ 900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50"/>
              <w:ind w:left="385" w:right="372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</w:tbl>
    <w:p>
      <w:pPr>
        <w:pStyle w:val="31"/>
        <w:numPr>
          <w:ilvl w:val="1"/>
          <w:numId w:val="6"/>
        </w:numPr>
        <w:tabs>
          <w:tab w:val="left" w:pos="1400"/>
          <w:tab w:val="clear" w:pos="840"/>
        </w:tabs>
        <w:spacing w:before="150" w:after="0" w:line="264" w:lineRule="auto"/>
        <w:ind w:left="1820" w:leftChars="0" w:right="409" w:rightChars="0" w:hanging="425" w:firstLineChars="0"/>
        <w:jc w:val="both"/>
        <w:rPr>
          <w:rFonts w:ascii="Arial" w:hAnsi="Arial"/>
          <w:sz w:val="22"/>
        </w:rPr>
      </w:pPr>
      <w:r>
        <w:rPr>
          <w:rFonts w:ascii="Arial" w:hAnsi="Arial"/>
          <w:color w:val="000009"/>
          <w:sz w:val="22"/>
        </w:rPr>
        <w:t xml:space="preserve">Caso o órgão opte por finalizar a compensação no próximo semestre (ou seja, sem recolhimento de GRU e deixando restos a compensar para o próximo semestre), deverá fazer a compensação no primeiro mês subsequente. </w:t>
      </w:r>
      <w:r>
        <w:rPr>
          <w:rFonts w:ascii="Arial" w:hAnsi="Arial"/>
          <w:color w:val="000009"/>
          <w:spacing w:val="-4"/>
          <w:sz w:val="22"/>
        </w:rPr>
        <w:t xml:space="preserve">Todavia, </w:t>
      </w:r>
      <w:r>
        <w:rPr>
          <w:rFonts w:ascii="Arial" w:hAnsi="Arial"/>
          <w:color w:val="000009"/>
          <w:sz w:val="22"/>
        </w:rPr>
        <w:t>deve atentar, neste caso, ao correto procedimento contábil para abatimento do valor da compensação proveniente de semestre</w:t>
      </w:r>
      <w:r>
        <w:rPr>
          <w:rFonts w:ascii="Arial" w:hAnsi="Arial"/>
          <w:color w:val="000009"/>
          <w:spacing w:val="-5"/>
          <w:sz w:val="22"/>
        </w:rPr>
        <w:t xml:space="preserve"> </w:t>
      </w:r>
      <w:r>
        <w:rPr>
          <w:rFonts w:ascii="Arial" w:hAnsi="Arial"/>
          <w:color w:val="000009"/>
          <w:sz w:val="22"/>
        </w:rPr>
        <w:t>anterior.</w:t>
      </w:r>
    </w:p>
    <w:p>
      <w:pPr>
        <w:spacing w:before="118"/>
        <w:ind w:left="212" w:right="0" w:firstLine="0"/>
        <w:jc w:val="both"/>
        <w:rPr>
          <w:rFonts w:ascii="Arial"/>
          <w:sz w:val="22"/>
        </w:rPr>
      </w:pPr>
      <w:r>
        <w:rPr>
          <w:rFonts w:ascii="Arial"/>
          <w:color w:val="000009"/>
          <w:sz w:val="22"/>
        </w:rPr>
        <w:t>*Considerando o valor excedente R$ 0,10.</w:t>
      </w:r>
    </w:p>
    <w:p>
      <w:pPr>
        <w:spacing w:before="160" w:line="276" w:lineRule="auto"/>
        <w:ind w:left="212" w:right="415" w:firstLine="0"/>
        <w:jc w:val="both"/>
        <w:rPr>
          <w:rFonts w:hint="default" w:ascii="Arial" w:hAnsi="Arial"/>
          <w:color w:val="000009"/>
          <w:sz w:val="22"/>
        </w:rPr>
      </w:pPr>
      <w:r>
        <w:rPr>
          <w:rFonts w:hint="default" w:ascii="Arial" w:hAnsi="Arial"/>
          <w:color w:val="000009"/>
          <w:sz w:val="22"/>
        </w:rPr>
        <w:t>(Σ F &gt; Σ P) Órgão supera a franquia em alguns meses e o somatório do volume produzido é inferior ao somatório das franquias mensais no semestre, todavia o Novo Valor a ser pago no último mês da compensação semestral é menor que o valor da franquia (Opção recolhimento GRU)</w:t>
      </w:r>
    </w:p>
    <w:p>
      <w:pPr>
        <w:spacing w:before="160" w:line="276" w:lineRule="auto"/>
        <w:ind w:left="212" w:right="415" w:firstLine="0"/>
        <w:jc w:val="both"/>
        <w:rPr>
          <w:rFonts w:hint="default" w:ascii="Arial" w:hAnsi="Arial"/>
          <w:color w:val="000009"/>
          <w:sz w:val="22"/>
        </w:rPr>
      </w:pPr>
      <w:r>
        <w:rPr>
          <w:rFonts w:hint="default" w:ascii="Arial" w:hAnsi="Arial"/>
          <w:color w:val="000009"/>
          <w:sz w:val="22"/>
        </w:rPr>
        <w:t>Valor da GRU = R$ 300</w:t>
      </w:r>
    </w:p>
    <w:p>
      <w:pPr>
        <w:pStyle w:val="31"/>
        <w:numPr>
          <w:ilvl w:val="1"/>
          <w:numId w:val="5"/>
        </w:numPr>
        <w:tabs>
          <w:tab w:val="left" w:pos="922"/>
        </w:tabs>
        <w:spacing w:before="150" w:after="0" w:line="264" w:lineRule="auto"/>
        <w:ind w:left="933" w:right="409" w:hanging="360"/>
        <w:jc w:val="both"/>
        <w:rPr>
          <w:rFonts w:ascii="Arial" w:hAnsi="Arial"/>
          <w:b/>
          <w:color w:val="000009"/>
          <w:w w:val="105"/>
          <w:sz w:val="22"/>
        </w:rPr>
      </w:pPr>
      <w:r>
        <w:rPr>
          <w:rFonts w:ascii="Arial" w:hAnsi="Arial"/>
          <w:b/>
          <w:color w:val="000009"/>
          <w:w w:val="105"/>
          <w:sz w:val="22"/>
        </w:rPr>
        <w:t>SITUAÇÃO 2: Σ F &lt; Σ P, ou seja, se o somatório das franquias mensais (Σ F, que corresponde à franquia de cada mês multiplicada por 6) for menor que o somatório de páginas produzidas (Σ P) no respectivo semestre:</w:t>
      </w:r>
    </w:p>
    <w:p>
      <w:pPr>
        <w:pStyle w:val="31"/>
        <w:numPr>
          <w:numId w:val="0"/>
        </w:numPr>
        <w:tabs>
          <w:tab w:val="left" w:pos="922"/>
        </w:tabs>
        <w:spacing w:before="150" w:after="0" w:line="264" w:lineRule="auto"/>
        <w:ind w:left="573" w:leftChars="0" w:right="409" w:rightChars="0"/>
        <w:jc w:val="both"/>
        <w:rPr>
          <w:rFonts w:ascii="Arial" w:hAnsi="Arial"/>
          <w:b/>
          <w:color w:val="000009"/>
          <w:w w:val="105"/>
          <w:sz w:val="22"/>
        </w:rPr>
      </w:pPr>
    </w:p>
    <w:p>
      <w:pPr>
        <w:pStyle w:val="31"/>
        <w:numPr>
          <w:ilvl w:val="0"/>
          <w:numId w:val="6"/>
        </w:numPr>
        <w:tabs>
          <w:tab w:val="left" w:pos="1400"/>
          <w:tab w:val="clear" w:pos="425"/>
        </w:tabs>
        <w:spacing w:before="150" w:after="0" w:line="264" w:lineRule="auto"/>
        <w:ind w:left="1400" w:leftChars="0" w:right="409" w:rightChars="0" w:hanging="425" w:firstLineChars="0"/>
        <w:jc w:val="both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ascii="Arial" w:hAnsi="Arial"/>
          <w:b/>
          <w:color w:val="000009"/>
          <w:sz w:val="22"/>
        </w:rPr>
        <w:t xml:space="preserve">CENÁRIO 4: </w:t>
      </w:r>
      <w:r>
        <w:rPr>
          <w:rFonts w:ascii="Arial" w:hAnsi="Arial"/>
          <w:b w:val="0"/>
          <w:bCs/>
          <w:color w:val="000009"/>
          <w:sz w:val="22"/>
        </w:rPr>
        <w:t xml:space="preserve">Caso haja produção de excedente em alguns ou todos os meses, o  somatório de páginas produzidas seja superior ao somatório da franquia e o Valor Excedente seja igual ao Valor delta Excedente (Σ VE - Valor Δ Exc) = 0, então </w:t>
      </w:r>
      <w:r>
        <w:rPr>
          <w:rFonts w:hint="default"/>
          <w:color w:val="000009"/>
          <w:sz w:val="22"/>
          <w:lang w:val="pt-BR"/>
        </w:rPr>
        <w:t>deverá ser observado às disposições contidas no presente instrumento,</w:t>
      </w:r>
      <w:r>
        <w:rPr>
          <w:rFonts w:ascii="Arial" w:hAnsi="Arial"/>
          <w:b w:val="0"/>
          <w:bCs/>
          <w:color w:val="000009"/>
          <w:sz w:val="22"/>
        </w:rPr>
        <w:t xml:space="preserve"> não h</w:t>
      </w:r>
      <w:r>
        <w:rPr>
          <w:rFonts w:hint="default"/>
          <w:b w:val="0"/>
          <w:bCs/>
          <w:color w:val="000009"/>
          <w:sz w:val="22"/>
          <w:lang w:val="pt-BR"/>
        </w:rPr>
        <w:t>avendo</w:t>
      </w:r>
      <w:r>
        <w:rPr>
          <w:rFonts w:ascii="Arial" w:hAnsi="Arial"/>
          <w:b w:val="0"/>
          <w:bCs/>
          <w:color w:val="000009"/>
          <w:sz w:val="22"/>
        </w:rPr>
        <w:t xml:space="preserve"> compensação, pois não há valor a ser reduzido ao final da compensação.</w:t>
      </w:r>
    </w:p>
    <w:tbl>
      <w:tblPr>
        <w:tblStyle w:val="15"/>
        <w:tblW w:w="99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846"/>
        <w:gridCol w:w="1592"/>
        <w:gridCol w:w="1754"/>
        <w:gridCol w:w="1905"/>
        <w:gridCol w:w="170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181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170" w:right="161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Meses</w:t>
            </w:r>
          </w:p>
        </w:tc>
        <w:tc>
          <w:tcPr>
            <w:tcW w:w="1846" w:type="dxa"/>
            <w:shd w:val="clear" w:color="auto" w:fill="DDDDDD"/>
            <w:vAlign w:val="center"/>
          </w:tcPr>
          <w:p>
            <w:pPr>
              <w:pStyle w:val="49"/>
              <w:spacing w:before="48"/>
              <w:ind w:right="-26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 Mensal</w:t>
            </w:r>
          </w:p>
        </w:tc>
        <w:tc>
          <w:tcPr>
            <w:tcW w:w="1592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99" w:right="8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Produzido</w:t>
            </w:r>
          </w:p>
        </w:tc>
        <w:tc>
          <w:tcPr>
            <w:tcW w:w="1754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-50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Franquia</w:t>
            </w:r>
          </w:p>
        </w:tc>
        <w:tc>
          <w:tcPr>
            <w:tcW w:w="1905" w:type="dxa"/>
            <w:shd w:val="clear" w:color="auto" w:fill="DDDDDD"/>
            <w:vAlign w:val="center"/>
          </w:tcPr>
          <w:p>
            <w:pPr>
              <w:pStyle w:val="49"/>
              <w:spacing w:before="50" w:line="273" w:lineRule="auto"/>
              <w:ind w:right="-99" w:right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Excedente*</w:t>
            </w:r>
          </w:p>
        </w:tc>
        <w:tc>
          <w:tcPr>
            <w:tcW w:w="1701" w:type="dxa"/>
            <w:shd w:val="clear" w:color="auto" w:fill="DDDDDD"/>
            <w:vAlign w:val="center"/>
          </w:tcPr>
          <w:p>
            <w:pPr>
              <w:pStyle w:val="49"/>
              <w:spacing w:before="48"/>
              <w:ind w:left="259" w:right="24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Pago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181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1</w:t>
            </w:r>
          </w:p>
        </w:tc>
        <w:tc>
          <w:tcPr>
            <w:tcW w:w="1846" w:type="dxa"/>
            <w:vMerge w:val="restart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5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7.000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spacing w:before="45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R$ 100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R$ 700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181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2</w:t>
            </w:r>
          </w:p>
        </w:tc>
        <w:tc>
          <w:tcPr>
            <w:tcW w:w="184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6.500</w:t>
            </w:r>
          </w:p>
        </w:tc>
        <w:tc>
          <w:tcPr>
            <w:tcW w:w="1754" w:type="dxa"/>
            <w:vAlign w:val="center"/>
          </w:tcPr>
          <w:p>
            <w:pPr>
              <w:spacing w:before="43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vAlign w:val="center"/>
          </w:tcPr>
          <w:p>
            <w:pPr>
              <w:pStyle w:val="49"/>
              <w:spacing w:before="43"/>
              <w:ind w:left="407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R$ 650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181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3</w:t>
            </w:r>
          </w:p>
        </w:tc>
        <w:tc>
          <w:tcPr>
            <w:tcW w:w="184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754" w:type="dxa"/>
            <w:vAlign w:val="center"/>
          </w:tcPr>
          <w:p>
            <w:pPr>
              <w:spacing w:before="43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vAlign w:val="center"/>
          </w:tcPr>
          <w:p>
            <w:pPr>
              <w:pStyle w:val="49"/>
              <w:spacing w:before="45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181" w:type="dxa"/>
            <w:vAlign w:val="center"/>
          </w:tcPr>
          <w:p>
            <w:pPr>
              <w:pStyle w:val="49"/>
              <w:spacing w:before="40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4</w:t>
            </w:r>
          </w:p>
        </w:tc>
        <w:tc>
          <w:tcPr>
            <w:tcW w:w="184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0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754" w:type="dxa"/>
            <w:vAlign w:val="center"/>
          </w:tcPr>
          <w:p>
            <w:pPr>
              <w:spacing w:before="40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181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5</w:t>
            </w:r>
          </w:p>
        </w:tc>
        <w:tc>
          <w:tcPr>
            <w:tcW w:w="184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7.500</w:t>
            </w:r>
          </w:p>
        </w:tc>
        <w:tc>
          <w:tcPr>
            <w:tcW w:w="1754" w:type="dxa"/>
            <w:vAlign w:val="center"/>
          </w:tcPr>
          <w:p>
            <w:pPr>
              <w:spacing w:before="43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R$ 150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R$ 750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181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6</w:t>
            </w:r>
          </w:p>
        </w:tc>
        <w:tc>
          <w:tcPr>
            <w:tcW w:w="184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8.000</w:t>
            </w:r>
          </w:p>
        </w:tc>
        <w:tc>
          <w:tcPr>
            <w:tcW w:w="1754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3"/>
              <w:ind w:left="408" w:right="39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R$ 200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R$ 800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136" w:right="129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TOTAL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9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36.000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278" w:right="26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41.000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317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310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R$ 500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0" w:leftChars="0" w:right="-109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R$ 4.100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181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4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Excedente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278" w:right="26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5.000</w:t>
            </w:r>
          </w:p>
        </w:tc>
        <w:tc>
          <w:tcPr>
            <w:tcW w:w="53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9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Δ Excedente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278" w:right="265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R$ 500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5360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spacing w:before="118"/>
        <w:ind w:left="212" w:right="0" w:firstLine="0"/>
        <w:jc w:val="both"/>
        <w:rPr>
          <w:rFonts w:ascii="Arial"/>
          <w:sz w:val="22"/>
        </w:rPr>
      </w:pPr>
      <w:r>
        <w:rPr>
          <w:rFonts w:ascii="Arial"/>
          <w:color w:val="000009"/>
          <w:sz w:val="22"/>
        </w:rPr>
        <w:t>*Considerando o valor excedente R$ 0,10.</w:t>
      </w:r>
    </w:p>
    <w:p>
      <w:pPr>
        <w:spacing w:before="160" w:line="276" w:lineRule="auto"/>
        <w:ind w:left="212" w:right="415" w:firstLine="0"/>
        <w:jc w:val="both"/>
        <w:rPr>
          <w:rFonts w:hint="default" w:ascii="Arial" w:hAnsi="Arial"/>
          <w:color w:val="000009"/>
          <w:sz w:val="22"/>
          <w:lang w:val="pt-PT" w:eastAsia="en-US"/>
        </w:rPr>
      </w:pPr>
      <w:r>
        <w:rPr>
          <w:rFonts w:hint="default" w:ascii="Arial" w:hAnsi="Arial"/>
          <w:color w:val="000009"/>
          <w:sz w:val="22"/>
          <w:lang w:val="pt-PT" w:eastAsia="en-US"/>
        </w:rPr>
        <w:t>(Σ F &lt; Σ P) Órgão na maioria dos meses supera a franquia, o somatório do volume produzido no período da compensação é maior que o somatório das franquias mensais, entretanto não há Redução, pois o Valor do Excedente é igual ao Valor delta excedente (Σ VE - Valor Δ Exc) = 0</w:t>
      </w:r>
    </w:p>
    <w:p>
      <w:pPr>
        <w:pStyle w:val="31"/>
        <w:numPr>
          <w:ilvl w:val="0"/>
          <w:numId w:val="6"/>
        </w:numPr>
        <w:tabs>
          <w:tab w:val="left" w:pos="1400"/>
          <w:tab w:val="clear" w:pos="425"/>
        </w:tabs>
        <w:spacing w:before="150" w:after="0" w:line="264" w:lineRule="auto"/>
        <w:ind w:left="1400" w:leftChars="0" w:right="409" w:rightChars="0" w:hanging="425" w:firstLineChars="0"/>
        <w:jc w:val="both"/>
        <w:rPr>
          <w:rFonts w:ascii="Arial" w:hAnsi="Arial"/>
          <w:b/>
          <w:color w:val="000009"/>
          <w:sz w:val="22"/>
        </w:rPr>
      </w:pPr>
      <w:r>
        <w:rPr>
          <w:rFonts w:ascii="Arial" w:hAnsi="Arial"/>
          <w:b/>
          <w:color w:val="000009"/>
          <w:sz w:val="22"/>
        </w:rPr>
        <w:t xml:space="preserve">CENÁRIO 5: </w:t>
      </w:r>
      <w:r>
        <w:rPr>
          <w:rFonts w:ascii="Arial" w:hAnsi="Arial"/>
          <w:b w:val="0"/>
          <w:bCs/>
          <w:color w:val="000009"/>
          <w:sz w:val="22"/>
        </w:rPr>
        <w:t>Caso haja produção de excedente em alguns ou todos os meses, o  somatório de páginas produzidas seja superior ao somatório da franquia e o Valor Excedente seja maior que o Valor delta Excedente (Σ VE - Valor Δ Exc) &gt; 0, então deve-se observar o disposto no item 14.5 e a compensação ocorrerá no último mês do respectivo semestre, onde será descontado o somatório dos valores excedentes, através da fórmula: Novo Valor a ser pago = Valor do último mês (da compensação semestral) - Valor da Redução.</w:t>
      </w:r>
    </w:p>
    <w:tbl>
      <w:tblPr>
        <w:tblStyle w:val="15"/>
        <w:tblW w:w="99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1823"/>
        <w:gridCol w:w="1142"/>
        <w:gridCol w:w="1477"/>
        <w:gridCol w:w="1800"/>
        <w:gridCol w:w="24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250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170" w:right="161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Meses</w:t>
            </w:r>
          </w:p>
        </w:tc>
        <w:tc>
          <w:tcPr>
            <w:tcW w:w="1823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0" w:leftChars="0" w:right="-46" w:rightChars="0" w:firstLine="0" w:firstLineChars="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Franquia Mensal</w:t>
            </w:r>
          </w:p>
        </w:tc>
        <w:tc>
          <w:tcPr>
            <w:tcW w:w="1142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99" w:right="83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Produzido</w:t>
            </w:r>
          </w:p>
        </w:tc>
        <w:tc>
          <w:tcPr>
            <w:tcW w:w="1477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273" w:lineRule="auto"/>
              <w:ind w:right="-44" w:rightChars="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Franquia</w:t>
            </w:r>
          </w:p>
        </w:tc>
        <w:tc>
          <w:tcPr>
            <w:tcW w:w="1800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273" w:lineRule="auto"/>
              <w:ind w:right="-44" w:rightChars="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 xml:space="preserve">Valor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xcedente*</w:t>
            </w:r>
          </w:p>
        </w:tc>
        <w:tc>
          <w:tcPr>
            <w:tcW w:w="2487" w:type="dxa"/>
            <w:shd w:val="clear" w:color="auto" w:fill="DDDDDD"/>
            <w:vAlign w:val="center"/>
          </w:tcPr>
          <w:p>
            <w:pPr>
              <w:pStyle w:val="4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9" w:right="246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Pago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50" w:type="dxa"/>
            <w:vAlign w:val="center"/>
          </w:tcPr>
          <w:p>
            <w:pPr>
              <w:pStyle w:val="49"/>
              <w:spacing w:before="45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1</w:t>
            </w:r>
          </w:p>
        </w:tc>
        <w:tc>
          <w:tcPr>
            <w:tcW w:w="1823" w:type="dxa"/>
            <w:vMerge w:val="restart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142" w:type="dxa"/>
            <w:vAlign w:val="center"/>
          </w:tcPr>
          <w:p>
            <w:pPr>
              <w:pStyle w:val="49"/>
              <w:spacing w:before="45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3.500</w:t>
            </w:r>
          </w:p>
        </w:tc>
        <w:tc>
          <w:tcPr>
            <w:tcW w:w="1477" w:type="dxa"/>
            <w:vAlign w:val="center"/>
          </w:tcPr>
          <w:p>
            <w:pPr>
              <w:pStyle w:val="49"/>
              <w:spacing w:before="45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vAlign w:val="center"/>
          </w:tcPr>
          <w:p>
            <w:pPr>
              <w:pStyle w:val="49"/>
              <w:spacing w:before="45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vAlign w:val="center"/>
          </w:tcPr>
          <w:p>
            <w:pPr>
              <w:pStyle w:val="49"/>
              <w:spacing w:before="45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250" w:type="dxa"/>
            <w:vAlign w:val="center"/>
          </w:tcPr>
          <w:p>
            <w:pPr>
              <w:pStyle w:val="49"/>
              <w:spacing w:before="40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2</w:t>
            </w:r>
          </w:p>
        </w:tc>
        <w:tc>
          <w:tcPr>
            <w:tcW w:w="1823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49"/>
              <w:spacing w:before="40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6.500</w:t>
            </w:r>
          </w:p>
        </w:tc>
        <w:tc>
          <w:tcPr>
            <w:tcW w:w="1477" w:type="dxa"/>
            <w:vAlign w:val="center"/>
          </w:tcPr>
          <w:p>
            <w:pPr>
              <w:pStyle w:val="49"/>
              <w:spacing w:before="40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vAlign w:val="center"/>
          </w:tcPr>
          <w:p>
            <w:pPr>
              <w:pStyle w:val="49"/>
              <w:spacing w:before="40"/>
              <w:ind w:left="407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R$ 650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250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3</w:t>
            </w:r>
          </w:p>
        </w:tc>
        <w:tc>
          <w:tcPr>
            <w:tcW w:w="1823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6.000</w:t>
            </w:r>
          </w:p>
        </w:tc>
        <w:tc>
          <w:tcPr>
            <w:tcW w:w="1477" w:type="dxa"/>
            <w:vAlign w:val="center"/>
          </w:tcPr>
          <w:p>
            <w:pPr>
              <w:spacing w:before="43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vAlign w:val="center"/>
          </w:tcPr>
          <w:p>
            <w:pPr>
              <w:pStyle w:val="49"/>
              <w:spacing w:before="45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250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4</w:t>
            </w:r>
          </w:p>
        </w:tc>
        <w:tc>
          <w:tcPr>
            <w:tcW w:w="1823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49"/>
              <w:spacing w:before="43"/>
              <w:ind w:left="99" w:right="82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5.000</w:t>
            </w:r>
          </w:p>
        </w:tc>
        <w:tc>
          <w:tcPr>
            <w:tcW w:w="1477" w:type="dxa"/>
            <w:vAlign w:val="center"/>
          </w:tcPr>
          <w:p>
            <w:pPr>
              <w:spacing w:before="43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vAlign w:val="center"/>
          </w:tcPr>
          <w:p>
            <w:pPr>
              <w:pStyle w:val="49"/>
              <w:spacing w:before="45"/>
              <w:ind w:left="405" w:right="39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R$ 0</w:t>
            </w: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vAlign w:val="center"/>
          </w:tcPr>
          <w:p>
            <w:pPr>
              <w:pStyle w:val="49"/>
              <w:spacing w:before="43"/>
              <w:ind w:left="257" w:right="246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250" w:type="dxa"/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5</w:t>
            </w:r>
          </w:p>
        </w:tc>
        <w:tc>
          <w:tcPr>
            <w:tcW w:w="1823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7.500</w:t>
            </w:r>
          </w:p>
        </w:tc>
        <w:tc>
          <w:tcPr>
            <w:tcW w:w="1477" w:type="dxa"/>
            <w:vAlign w:val="center"/>
          </w:tcPr>
          <w:p>
            <w:pPr>
              <w:spacing w:before="43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R$ 150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vAlign w:val="center"/>
          </w:tcPr>
          <w:p>
            <w:pPr>
              <w:pStyle w:val="49"/>
              <w:spacing w:before="40"/>
              <w:ind w:left="257" w:right="24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R$ 750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1250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166" w:right="16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Mês 6</w:t>
            </w:r>
          </w:p>
        </w:tc>
        <w:tc>
          <w:tcPr>
            <w:tcW w:w="1823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99" w:right="81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8.000</w:t>
            </w:r>
          </w:p>
        </w:tc>
        <w:tc>
          <w:tcPr>
            <w:tcW w:w="1477" w:type="dxa"/>
            <w:tcBorders>
              <w:bottom w:val="single" w:color="000000" w:sz="4" w:space="0"/>
            </w:tcBorders>
            <w:vAlign w:val="center"/>
          </w:tcPr>
          <w:p>
            <w:pPr>
              <w:spacing w:before="43"/>
              <w:ind w:left="0" w:leftChars="0" w:right="-44" w:righ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9"/>
                <w:sz w:val="18"/>
                <w:szCs w:val="18"/>
              </w:rPr>
              <w:t>R$ 600</w:t>
            </w:r>
            <w:r>
              <w:rPr>
                <w:rFonts w:hint="default" w:ascii="Arial" w:hAnsi="Arial" w:cs="Arial"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/>
              <w:ind w:left="405" w:right="394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R$ 200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tcBorders>
              <w:bottom w:val="single" w:color="000000" w:sz="4" w:space="0"/>
            </w:tcBorders>
            <w:vAlign w:val="center"/>
          </w:tcPr>
          <w:p>
            <w:pPr>
              <w:pStyle w:val="49"/>
              <w:spacing w:before="43" w:line="273" w:lineRule="auto"/>
              <w:ind w:right="16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trike/>
                <w:color w:val="000009"/>
                <w:sz w:val="18"/>
                <w:szCs w:val="18"/>
              </w:rPr>
              <w:t>R$ 800</w:t>
            </w:r>
            <w:r>
              <w:rPr>
                <w:rFonts w:hint="default" w:ascii="Arial" w:hAnsi="Arial" w:cs="Arial"/>
                <w:b/>
                <w:strike w:val="0"/>
                <w:color w:val="000009"/>
                <w:sz w:val="18"/>
                <w:szCs w:val="18"/>
              </w:rPr>
              <w:t xml:space="preserve"> - R$ 400 </w:t>
            </w:r>
            <w:r>
              <w:rPr>
                <w:rFonts w:hint="default" w:ascii="Arial" w:hAnsi="Arial" w:cs="Arial"/>
                <w:b/>
                <w:strike w:val="0"/>
                <w:color w:val="000009"/>
                <w:spacing w:val="-16"/>
                <w:sz w:val="18"/>
                <w:szCs w:val="18"/>
              </w:rPr>
              <w:t>=</w:t>
            </w:r>
            <w:r>
              <w:rPr>
                <w:rFonts w:hint="default" w:ascii="Arial" w:hAnsi="Arial" w:cs="Arial"/>
                <w:b/>
                <w:strike w:val="0"/>
                <w:color w:val="000009"/>
                <w:spacing w:val="-16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R$ 400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136" w:right="129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TOTAL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9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36.000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278" w:right="26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36.500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0" w:leftChars="0" w:right="-133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310" w:right="299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R$ 400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2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385" w:right="372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R$ 3.650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25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4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Excedente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278" w:right="26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500</w:t>
            </w:r>
          </w:p>
        </w:tc>
        <w:tc>
          <w:tcPr>
            <w:tcW w:w="57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pStyle w:val="49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25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419" w:right="40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Valor Δ Excedente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pStyle w:val="49"/>
              <w:spacing w:before="48"/>
              <w:ind w:left="0" w:leftChars="0" w:right="-68" w:righ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</w:rPr>
              <w:t>R$ 50</w:t>
            </w:r>
            <w:r>
              <w:rPr>
                <w:rFonts w:hint="default" w:ascii="Arial" w:hAnsi="Arial" w:cs="Arial"/>
                <w:b/>
                <w:color w:val="000009"/>
                <w:sz w:val="18"/>
                <w:szCs w:val="18"/>
                <w:lang w:val="pt-BR"/>
              </w:rPr>
              <w:t>,00</w:t>
            </w:r>
          </w:p>
        </w:tc>
        <w:tc>
          <w:tcPr>
            <w:tcW w:w="5764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spacing w:before="118"/>
        <w:ind w:left="212" w:right="0" w:firstLine="0"/>
        <w:jc w:val="both"/>
        <w:rPr>
          <w:rFonts w:ascii="Arial"/>
          <w:sz w:val="22"/>
        </w:rPr>
      </w:pPr>
      <w:r>
        <w:rPr>
          <w:rFonts w:ascii="Arial"/>
          <w:color w:val="000009"/>
          <w:sz w:val="22"/>
        </w:rPr>
        <w:t>*Considerando o valor excedente R$ 0,10.</w:t>
      </w:r>
    </w:p>
    <w:p>
      <w:pPr>
        <w:spacing w:before="160" w:line="276" w:lineRule="auto"/>
        <w:ind w:left="212" w:right="415" w:firstLine="0"/>
        <w:jc w:val="both"/>
        <w:rPr>
          <w:rFonts w:hint="default" w:ascii="Arial" w:hAnsi="Arial"/>
          <w:color w:val="000009"/>
          <w:sz w:val="22"/>
          <w:lang w:val="pt-PT" w:eastAsia="en-US"/>
        </w:rPr>
      </w:pPr>
      <w:r>
        <w:rPr>
          <w:rFonts w:hint="default" w:ascii="Arial" w:hAnsi="Arial"/>
          <w:color w:val="000009"/>
          <w:sz w:val="22"/>
          <w:lang w:val="pt-PT" w:eastAsia="en-US"/>
        </w:rPr>
        <w:t>(Σ F &lt; Σ P) Órgão supera a franquia em alguns meses e o somatório do volume produzido supera o somatório das franquias mensais no período de compensação. Há Redução, haja vista que o Valor do Excedente gerado é maior que o Valor delta Excedente (Σ VE - Valor Delta Excedente) &gt; 0</w:t>
      </w:r>
    </w:p>
    <w:p>
      <w:pPr>
        <w:pStyle w:val="47"/>
        <w:widowControl/>
        <w:numPr>
          <w:ilvl w:val="1"/>
          <w:numId w:val="4"/>
        </w:numPr>
        <w:shd w:val="clear" w:color="auto" w:fill="FFFFFF"/>
        <w:spacing w:before="120" w:after="120"/>
        <w:ind w:left="70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PT" w:eastAsia="en-US"/>
        </w:rPr>
        <w:t>Regras gerais aplicadas à política de compensação de franquia para o escopo d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>a CONTRATANTE</w:t>
      </w:r>
    </w:p>
    <w:p>
      <w:pPr>
        <w:pStyle w:val="47"/>
        <w:widowControl/>
        <w:numPr>
          <w:ilvl w:val="2"/>
          <w:numId w:val="4"/>
        </w:numPr>
        <w:shd w:val="clear" w:color="auto" w:fill="FFFFFF"/>
        <w:spacing w:before="120" w:after="120"/>
        <w:ind w:left="112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Cada contrato representa um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órgão / entidade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C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>ONTRATANTE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;</w:t>
      </w:r>
    </w:p>
    <w:p>
      <w:pPr>
        <w:pStyle w:val="47"/>
        <w:widowControl/>
        <w:numPr>
          <w:ilvl w:val="2"/>
          <w:numId w:val="4"/>
        </w:numPr>
        <w:shd w:val="clear" w:color="auto" w:fill="FFFFFF"/>
        <w:spacing w:before="120" w:after="120"/>
        <w:ind w:left="112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Cada 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>órgão / entidade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 possui um parque de equipamentos específicos;</w:t>
      </w:r>
    </w:p>
    <w:p>
      <w:pPr>
        <w:pStyle w:val="47"/>
        <w:widowControl/>
        <w:numPr>
          <w:ilvl w:val="2"/>
          <w:numId w:val="4"/>
        </w:numPr>
        <w:shd w:val="clear" w:color="auto" w:fill="FFFFFF"/>
        <w:spacing w:before="120" w:after="120"/>
        <w:ind w:left="112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Cada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órgão / entidade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 possui uma definição de franquia e estimativa de excedentes próprio (proporcional ao respectivo parque);</w:t>
      </w:r>
    </w:p>
    <w:p>
      <w:pPr>
        <w:pStyle w:val="47"/>
        <w:widowControl/>
        <w:numPr>
          <w:ilvl w:val="2"/>
          <w:numId w:val="4"/>
        </w:numPr>
        <w:shd w:val="clear" w:color="auto" w:fill="FFFFFF"/>
        <w:spacing w:before="120" w:after="120"/>
        <w:ind w:left="112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Cada cenário de franquia, excedente e compensação deverá ser calculado individualmente por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órgão / entidade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>;</w:t>
      </w:r>
    </w:p>
    <w:p>
      <w:pPr>
        <w:pStyle w:val="47"/>
        <w:widowControl/>
        <w:numPr>
          <w:ilvl w:val="2"/>
          <w:numId w:val="4"/>
        </w:numPr>
        <w:shd w:val="clear" w:color="auto" w:fill="FFFFFF"/>
        <w:spacing w:before="120" w:after="120"/>
        <w:ind w:left="1128" w:leftChars="0" w:firstLine="0"/>
        <w:rPr>
          <w:rFonts w:hint="default" w:ascii="Arial" w:hAnsi="Arial"/>
          <w:color w:val="auto"/>
          <w:sz w:val="21"/>
          <w:szCs w:val="21"/>
          <w:lang w:val="pt-PT" w:eastAsia="en-US"/>
        </w:rPr>
      </w:pPr>
      <w:r>
        <w:rPr>
          <w:rFonts w:hint="default" w:ascii="Arial" w:hAnsi="Arial"/>
          <w:color w:val="auto"/>
          <w:sz w:val="21"/>
          <w:szCs w:val="21"/>
          <w:lang w:val="pt-BR" w:eastAsia="en-US"/>
        </w:rPr>
        <w:t xml:space="preserve"> 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Cada </w:t>
      </w:r>
      <w:r>
        <w:rPr>
          <w:rFonts w:hint="default" w:ascii="Arial" w:hAnsi="Arial"/>
          <w:color w:val="auto"/>
          <w:sz w:val="21"/>
          <w:szCs w:val="21"/>
          <w:lang w:val="pt-BR" w:eastAsia="en-US"/>
        </w:rPr>
        <w:t>órgão / entidade</w:t>
      </w:r>
      <w:r>
        <w:rPr>
          <w:rFonts w:hint="default" w:ascii="Arial" w:hAnsi="Arial"/>
          <w:color w:val="auto"/>
          <w:sz w:val="21"/>
          <w:szCs w:val="21"/>
          <w:lang w:val="pt-PT" w:eastAsia="en-US"/>
        </w:rPr>
        <w:t xml:space="preserve"> será responsável pelo seu devido gerenciamento e ateste dos serviços.</w:t>
      </w:r>
    </w:p>
    <w:p>
      <w:pPr>
        <w:pStyle w:val="31"/>
        <w:numPr>
          <w:numId w:val="0"/>
        </w:numPr>
        <w:tabs>
          <w:tab w:val="left" w:pos="1400"/>
        </w:tabs>
        <w:spacing w:before="150" w:after="0" w:line="264" w:lineRule="auto"/>
        <w:ind w:left="975" w:leftChars="0" w:right="409" w:rightChars="0"/>
        <w:jc w:val="both"/>
        <w:rPr>
          <w:rFonts w:hint="default" w:ascii="Arial" w:hAnsi="Arial"/>
          <w:color w:val="auto"/>
          <w:sz w:val="21"/>
          <w:szCs w:val="21"/>
          <w:lang w:val="pt-PT" w:eastAsia="en-US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FFFF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5"/>
      <w:pBdr>
        <w:bottom w:val="single" w:color="00000A" w:sz="6" w:space="1"/>
      </w:pBdr>
      <w:spacing w:after="0" w:line="240" w:lineRule="auto"/>
      <w:rPr>
        <w:rFonts w:cs="Arial"/>
        <w:sz w:val="12"/>
        <w:szCs w:val="12"/>
      </w:rPr>
    </w:pPr>
  </w:p>
  <w:p>
    <w:pPr>
      <w:pStyle w:val="44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4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4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drawing>
        <wp:anchor distT="0" distB="35560" distL="0" distR="0" simplePos="0" relativeHeight="251659264" behindDoc="1" locked="0" layoutInCell="1" allowOverlap="1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Pró-Reitoria de Administração e Finanças</w: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390D5"/>
    <w:multiLevelType w:val="multilevel"/>
    <w:tmpl w:val="831390D5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"/>
      <w:lvlJc w:val="left"/>
      <w:pPr>
        <w:ind w:left="405" w:hanging="405"/>
      </w:pPr>
    </w:lvl>
    <w:lvl w:ilvl="1" w:tentative="0">
      <w:start w:val="1"/>
      <w:numFmt w:val="decimal"/>
      <w:lvlText w:val="%1.%2"/>
      <w:lvlJc w:val="left"/>
      <w:pPr>
        <w:ind w:left="1114" w:hanging="405"/>
      </w:pPr>
    </w:lvl>
    <w:lvl w:ilvl="2" w:tentative="0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  <w:sz w:val="21"/>
      </w:rPr>
    </w:lvl>
    <w:lvl w:ilvl="3" w:tentative="0">
      <w:start w:val="1"/>
      <w:numFmt w:val="decimal"/>
      <w:lvlText w:val="%1.%2.%3.%4"/>
      <w:lvlJc w:val="left"/>
      <w:pPr>
        <w:ind w:left="2964" w:hanging="720"/>
      </w:pPr>
    </w:lvl>
    <w:lvl w:ilvl="4" w:tentative="0">
      <w:start w:val="1"/>
      <w:numFmt w:val="decimal"/>
      <w:lvlText w:val="%1.%2.%3.%4.%5"/>
      <w:lvlJc w:val="left"/>
      <w:pPr>
        <w:ind w:left="3712" w:hanging="720"/>
      </w:pPr>
    </w:lvl>
    <w:lvl w:ilvl="5" w:tentative="0">
      <w:start w:val="1"/>
      <w:numFmt w:val="decimal"/>
      <w:lvlText w:val="%1.%2.%3.%4.%5.%6"/>
      <w:lvlJc w:val="left"/>
      <w:pPr>
        <w:ind w:left="4820" w:hanging="1080"/>
      </w:pPr>
    </w:lvl>
    <w:lvl w:ilvl="6" w:tentative="0">
      <w:start w:val="1"/>
      <w:numFmt w:val="decimal"/>
      <w:lvlText w:val="%1.%2.%3.%4.%5.%6.%7"/>
      <w:lvlJc w:val="left"/>
      <w:pPr>
        <w:ind w:left="5568" w:hanging="1080"/>
      </w:pPr>
    </w:lvl>
    <w:lvl w:ilvl="7" w:tentative="0">
      <w:start w:val="1"/>
      <w:numFmt w:val="decimal"/>
      <w:lvlText w:val="%1.%2.%3.%4.%5.%6.%7.%8"/>
      <w:lvlJc w:val="left"/>
      <w:pPr>
        <w:ind w:left="6676" w:hanging="1440"/>
      </w:pPr>
    </w:lvl>
    <w:lvl w:ilvl="8" w:tentative="0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3">
    <w:nsid w:val="1A8F211C"/>
    <w:multiLevelType w:val="multilevel"/>
    <w:tmpl w:val="1A8F211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1ACDE60F"/>
    <w:multiLevelType w:val="multilevel"/>
    <w:tmpl w:val="1ACDE60F"/>
    <w:lvl w:ilvl="0" w:tentative="0">
      <w:start w:val="0"/>
      <w:numFmt w:val="bullet"/>
      <w:lvlText w:val="*"/>
      <w:lvlJc w:val="left"/>
      <w:pPr>
        <w:ind w:left="249" w:hanging="137"/>
      </w:pPr>
      <w:rPr>
        <w:rFonts w:hint="default" w:ascii="Arial" w:hAnsi="Arial" w:eastAsia="Arial" w:cs="Arial"/>
        <w:w w:val="100"/>
        <w:sz w:val="22"/>
        <w:szCs w:val="22"/>
        <w:lang w:val="pt-PT" w:eastAsia="pt-PT" w:bidi="pt-PT"/>
      </w:rPr>
    </w:lvl>
    <w:lvl w:ilvl="1" w:tentative="0">
      <w:start w:val="0"/>
      <w:numFmt w:val="bullet"/>
      <w:lvlText w:val=""/>
      <w:lvlJc w:val="left"/>
      <w:pPr>
        <w:ind w:left="933" w:hanging="348"/>
      </w:pPr>
      <w:rPr>
        <w:rFonts w:hint="default" w:ascii="Symbol" w:hAnsi="Symbol" w:eastAsia="Symbol" w:cs="Symbol"/>
        <w:color w:val="000009"/>
        <w:w w:val="100"/>
        <w:sz w:val="22"/>
        <w:szCs w:val="22"/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1965" w:hanging="348"/>
      </w:pPr>
      <w:rPr>
        <w:rFonts w:hint="default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2990" w:hanging="348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4015" w:hanging="348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5040" w:hanging="348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6065" w:hanging="348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7090" w:hanging="348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8116" w:hanging="348"/>
      </w:pPr>
      <w:rPr>
        <w:rFonts w:hint="default"/>
        <w:lang w:val="pt-PT" w:eastAsia="pt-PT" w:bidi="pt-PT"/>
      </w:rPr>
    </w:lvl>
  </w:abstractNum>
  <w:abstractNum w:abstractNumId="5">
    <w:nsid w:val="61DD361E"/>
    <w:multiLevelType w:val="multilevel"/>
    <w:tmpl w:val="61DD361E"/>
    <w:lvl w:ilvl="0" w:tentative="0">
      <w:start w:val="1"/>
      <w:numFmt w:val="decimal"/>
      <w:pStyle w:val="34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  <w:rsid w:val="06854D6A"/>
    <w:rsid w:val="11317184"/>
    <w:rsid w:val="506A548C"/>
    <w:rsid w:val="5AF12D32"/>
    <w:rsid w:val="62212577"/>
    <w:rsid w:val="69AA3AE5"/>
    <w:rsid w:val="76F9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2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paragraph" w:styleId="5">
    <w:name w:val="annotation text"/>
    <w:basedOn w:val="1"/>
    <w:link w:val="28"/>
    <w:unhideWhenUsed/>
    <w:qFormat/>
    <w:uiPriority w:val="99"/>
    <w:rPr>
      <w:szCs w:val="20"/>
    </w:rPr>
  </w:style>
  <w:style w:type="paragraph" w:styleId="6">
    <w:name w:val="List Bullet 5"/>
    <w:basedOn w:val="1"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2"/>
    <w:unhideWhenUsed/>
    <w:uiPriority w:val="0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29"/>
    <w:semiHidden/>
    <w:unhideWhenUsed/>
    <w:uiPriority w:val="0"/>
    <w:rPr>
      <w:b/>
      <w:bCs/>
    </w:rPr>
  </w:style>
  <w:style w:type="paragraph" w:styleId="10">
    <w:name w:val="footer"/>
    <w:basedOn w:val="1"/>
    <w:link w:val="33"/>
    <w:unhideWhenUsed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17"/>
    <w:uiPriority w:val="0"/>
    <w:rPr>
      <w:rFonts w:ascii="Tahoma" w:hAnsi="Tahoma" w:cs="Times New Roman"/>
      <w:sz w:val="16"/>
      <w:szCs w:val="16"/>
      <w:lang w:val="zh-CN" w:eastAsia="zh-CN"/>
    </w:rPr>
  </w:style>
  <w:style w:type="character" w:styleId="13">
    <w:name w:val="annotation reference"/>
    <w:basedOn w:val="12"/>
    <w:semiHidden/>
    <w:unhideWhenUsed/>
    <w:uiPriority w:val="99"/>
    <w:rPr>
      <w:sz w:val="16"/>
      <w:szCs w:val="16"/>
    </w:rPr>
  </w:style>
  <w:style w:type="character" w:styleId="14">
    <w:name w:val="Hyperlink"/>
    <w:uiPriority w:val="0"/>
    <w:rPr>
      <w:color w:val="000080"/>
      <w:u w:val="single"/>
    </w:rPr>
  </w:style>
  <w:style w:type="paragraph" w:customStyle="1" w:styleId="16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7">
    <w:name w:val="Texto de balão Char"/>
    <w:link w:val="11"/>
    <w:uiPriority w:val="0"/>
    <w:rPr>
      <w:rFonts w:ascii="Tahoma" w:hAnsi="Tahoma" w:cs="Tahoma"/>
      <w:sz w:val="16"/>
      <w:szCs w:val="16"/>
    </w:rPr>
  </w:style>
  <w:style w:type="character" w:customStyle="1" w:styleId="18">
    <w:name w:val="Título 2 Char"/>
    <w:link w:val="3"/>
    <w:qFormat/>
    <w:uiPriority w:val="0"/>
    <w:rPr>
      <w:b/>
      <w:color w:val="000000"/>
      <w:sz w:val="24"/>
    </w:rPr>
  </w:style>
  <w:style w:type="paragraph" w:customStyle="1" w:styleId="19">
    <w:name w:val="Nível 2"/>
    <w:basedOn w:val="1"/>
    <w:next w:val="1"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0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1">
    <w:name w:val="apple-style-span"/>
    <w:basedOn w:val="12"/>
    <w:uiPriority w:val="0"/>
  </w:style>
  <w:style w:type="paragraph" w:customStyle="1" w:styleId="22">
    <w:name w:val="Grade Colorida - Ênfase 11"/>
    <w:basedOn w:val="1"/>
    <w:next w:val="1"/>
    <w:link w:val="2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3">
    <w:name w:val="Grade Colorida - Ênfase 1 Char"/>
    <w:link w:val="22"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4">
    <w:name w:val="citação 2"/>
    <w:basedOn w:val="22"/>
    <w:link w:val="25"/>
    <w:qFormat/>
    <w:uiPriority w:val="0"/>
    <w:rPr>
      <w:szCs w:val="20"/>
    </w:rPr>
  </w:style>
  <w:style w:type="character" w:customStyle="1" w:styleId="25">
    <w:name w:val="citação 2 Char"/>
    <w:basedOn w:val="23"/>
    <w:link w:val="24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6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7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8">
    <w:name w:val="Texto de comentário Char"/>
    <w:basedOn w:val="12"/>
    <w:link w:val="5"/>
    <w:qFormat/>
    <w:uiPriority w:val="99"/>
    <w:rPr>
      <w:rFonts w:ascii="Ecofont_Spranq_eco_Sans" w:hAnsi="Ecofont_Spranq_eco_Sans" w:cs="Tahoma"/>
    </w:rPr>
  </w:style>
  <w:style w:type="character" w:customStyle="1" w:styleId="29">
    <w:name w:val="Assunto do comentário Char"/>
    <w:basedOn w:val="28"/>
    <w:link w:val="9"/>
    <w:semiHidden/>
    <w:uiPriority w:val="0"/>
    <w:rPr>
      <w:rFonts w:ascii="Ecofont_Spranq_eco_Sans" w:hAnsi="Ecofont_Spranq_eco_Sans" w:cs="Tahoma"/>
      <w:b/>
      <w:bCs/>
    </w:rPr>
  </w:style>
  <w:style w:type="paragraph" w:customStyle="1" w:styleId="30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Cabeçalho Char"/>
    <w:basedOn w:val="12"/>
    <w:link w:val="8"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3">
    <w:name w:val="Rodapé Char"/>
    <w:basedOn w:val="12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4">
    <w:name w:val="Nivel_01_Titulo"/>
    <w:basedOn w:val="2"/>
    <w:next w:val="1"/>
    <w:link w:val="36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5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6">
    <w:name w:val="Nivel_01_Titulo Char"/>
    <w:basedOn w:val="35"/>
    <w:link w:val="34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7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8">
    <w:name w:val="Sombreamento Médio 1 - Ênfase 31"/>
    <w:basedOn w:val="1"/>
    <w:next w:val="1"/>
    <w:link w:val="39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character" w:customStyle="1" w:styleId="39">
    <w:name w:val="Sombreamento Médio 1 - Ênfase 3 Char"/>
    <w:link w:val="38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40">
    <w:name w:val="Grade Média 2 - Ênfase 2 Char"/>
    <w:link w:val="41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1">
    <w:name w:val="Grade Média 2 - Ênfase 21"/>
    <w:basedOn w:val="1"/>
    <w:next w:val="1"/>
    <w:link w:val="40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styleId="42">
    <w:name w:val="Quote"/>
    <w:basedOn w:val="1"/>
    <w:next w:val="1"/>
    <w:link w:val="4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3">
    <w:name w:val="Citação Char"/>
    <w:basedOn w:val="12"/>
    <w:link w:val="42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4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45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46">
    <w:name w:val="Standard"/>
    <w:qFormat/>
    <w:uiPriority w:val="0"/>
    <w:pPr>
      <w:widowControl w:val="0"/>
      <w:suppressAutoHyphens/>
      <w:spacing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47">
    <w:name w:val="PADRÃO"/>
    <w:qFormat/>
    <w:uiPriority w:val="0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hAnsi="Ecofont_Spranq_eco_Sans" w:eastAsia="WenQuanYi Micro Hei" w:cs="Lohit Hindi"/>
      <w:szCs w:val="24"/>
      <w:lang w:val="pt-BR" w:eastAsia="hi-IN" w:bidi="hi-IN"/>
    </w:rPr>
  </w:style>
  <w:style w:type="paragraph" w:customStyle="1" w:styleId="4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  <w:style w:type="paragraph" w:customStyle="1" w:styleId="49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5E7601-C121-4158-8061-0553EBD1FAE7}">
  <ds:schemaRefs/>
</ds:datastoreItem>
</file>

<file path=customXml/itemProps3.xml><?xml version="1.0" encoding="utf-8"?>
<ds:datastoreItem xmlns:ds="http://schemas.openxmlformats.org/officeDocument/2006/customXml" ds:itemID="{82DED975-93DE-4FD8-894D-894126A076B1}">
  <ds:schemaRefs/>
</ds:datastoreItem>
</file>

<file path=customXml/itemProps4.xml><?xml version="1.0" encoding="utf-8"?>
<ds:datastoreItem xmlns:ds="http://schemas.openxmlformats.org/officeDocument/2006/customXml" ds:itemID="{4EE35EC5-8FB6-4E2A-A1CC-8B5D084F49FD}">
  <ds:schemaRefs/>
</ds:datastoreItem>
</file>

<file path=customXml/itemProps5.xml><?xml version="1.0" encoding="utf-8"?>
<ds:datastoreItem xmlns:ds="http://schemas.openxmlformats.org/officeDocument/2006/customXml" ds:itemID="{4BCDE9B9-7EEA-4137-9269-4FB35F1521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2</Pages>
  <Words>602</Words>
  <Characters>3257</Characters>
  <Lines>27</Lines>
  <Paragraphs>7</Paragraphs>
  <TotalTime>0</TotalTime>
  <ScaleCrop>false</ScaleCrop>
  <LinksUpToDate>false</LinksUpToDate>
  <CharactersWithSpaces>3852</CharactersWithSpaces>
  <Application>WPS Office_11.2.0.9363_F1E327BC-269C-435d-A152-05C5408002CA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2018-10-19T21:15:00Z</dcterms:created>
  <dc:creator>Adriano</dc:creator>
  <cp:lastModifiedBy>Carvalho</cp:lastModifiedBy>
  <cp:lastPrinted>2018-12-17T20:01:00Z</cp:lastPrinted>
  <dcterms:modified xsi:type="dcterms:W3CDTF">2020-05-27T21:33:45Z</dcterms:modified>
  <dc:title>NOTAS EXPLICATIVAS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1046-11.2.0.9363</vt:lpwstr>
  </property>
</Properties>
</file>